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1111" w14:textId="77777777" w:rsidR="004D2D6C" w:rsidRPr="00C651E7" w:rsidRDefault="00000000">
      <w:pPr>
        <w:spacing w:after="200"/>
        <w:jc w:val="center"/>
        <w:rPr>
          <w:sz w:val="22"/>
          <w:szCs w:val="22"/>
        </w:rPr>
      </w:pPr>
      <w:r>
        <w:rPr>
          <w:b/>
          <w:bCs/>
          <w:sz w:val="22"/>
          <w:szCs w:val="22"/>
        </w:rPr>
        <w:t>The Coercivity Law of Enaction within Fisher-Generative Informational Realism</w:t>
      </w:r>
    </w:p>
    <w:p w14:paraId="5E606CCD" w14:textId="77777777" w:rsidR="004D2D6C" w:rsidRPr="00C651E7" w:rsidRDefault="00000000">
      <w:pPr>
        <w:spacing w:after="100"/>
        <w:jc w:val="center"/>
        <w:rPr>
          <w:sz w:val="22"/>
          <w:szCs w:val="22"/>
        </w:rPr>
      </w:pPr>
      <w:r>
        <w:rPr>
          <w:b/>
          <w:bCs/>
          <w:sz w:val="22"/>
          <w:szCs w:val="22"/>
        </w:rPr>
        <w:t>Yolles, M.I.*  &amp;  Lin, C.-K.**</w:t>
      </w:r>
    </w:p>
    <w:p w14:paraId="343AD415" w14:textId="77777777" w:rsidR="004D2D6C" w:rsidRPr="00FA0361" w:rsidRDefault="00000000" w:rsidP="0080524A">
      <w:pPr>
        <w:spacing w:after="100"/>
        <w:jc w:val="center"/>
        <w:rPr>
          <w:sz w:val="22"/>
          <w:szCs w:val="22"/>
        </w:rPr>
      </w:pPr>
      <w:r>
        <w:rPr>
          <w:sz w:val="22"/>
          <w:szCs w:val="22"/>
        </w:rPr>
        <w:t>*Liverpool John Moores University;  **Xuanfan Institute, Taipei (Independent Researcher)</w:t>
      </w:r>
    </w:p>
    <w:p w14:paraId="4FE6FAC7" w14:textId="468944AA" w:rsidR="004D2D6C" w:rsidRDefault="00000000">
      <w:pPr>
        <w:spacing w:after="300"/>
        <w:jc w:val="center"/>
        <w:rPr>
          <w:sz w:val="22"/>
          <w:szCs w:val="22"/>
        </w:rPr>
      </w:pPr>
      <w:r>
        <w:rPr>
          <w:sz w:val="22"/>
          <w:szCs w:val="22"/>
        </w:rPr>
        <w:t xml:space="preserve">Working Paper. DOI: </w:t>
      </w:r>
      <w:r w:rsidR="00081BDE" w:rsidRPr="00081BDE">
        <w:rPr>
          <w:sz w:val="22"/>
          <w:szCs w:val="22"/>
        </w:rPr>
        <w:t>10.5281/zenodo.20692221</w:t>
      </w:r>
    </w:p>
    <w:p w14:paraId="6B2F7344" w14:textId="717C7B95" w:rsidR="0080524A" w:rsidRPr="0080524A" w:rsidRDefault="00081DC9">
      <w:pPr>
        <w:spacing w:after="300"/>
        <w:jc w:val="center"/>
        <w:rPr>
          <w:sz w:val="22"/>
          <w:szCs w:val="22"/>
        </w:rPr>
      </w:pPr>
      <w:r>
        <w:rPr>
          <w:sz w:val="22"/>
          <w:szCs w:val="22"/>
        </w:rPr>
        <w:t>1</w:t>
      </w:r>
      <w:r w:rsidR="00C41A40">
        <w:rPr>
          <w:sz w:val="22"/>
          <w:szCs w:val="22"/>
        </w:rPr>
        <w:t>4</w:t>
      </w:r>
      <w:r w:rsidR="00C41A40">
        <w:rPr>
          <w:sz w:val="22"/>
          <w:szCs w:val="22"/>
          <w:vertAlign w:val="superscript"/>
        </w:rPr>
        <w:t>th</w:t>
      </w:r>
      <w:r w:rsidR="00C41A40">
        <w:rPr>
          <w:sz w:val="22"/>
          <w:szCs w:val="22"/>
        </w:rPr>
        <w:t xml:space="preserve"> June 2026</w:t>
      </w:r>
    </w:p>
    <w:p w14:paraId="1665E2C7" w14:textId="77777777" w:rsidR="004D2D6C" w:rsidRPr="00C651E7" w:rsidRDefault="00000000">
      <w:pPr>
        <w:spacing w:after="120"/>
        <w:rPr>
          <w:sz w:val="22"/>
          <w:szCs w:val="22"/>
        </w:rPr>
      </w:pPr>
      <w:r>
        <w:rPr>
          <w:b/>
          <w:bCs/>
          <w:sz w:val="22"/>
          <w:szCs w:val="22"/>
        </w:rPr>
        <w:t>Abstract</w:t>
      </w:r>
    </w:p>
    <w:p w14:paraId="5DB9B57F" w14:textId="77777777" w:rsidR="00C651E7" w:rsidRPr="00C651E7" w:rsidRDefault="00E12101" w:rsidP="00E12101">
      <w:pPr>
        <w:spacing w:before="60" w:after="60"/>
        <w:jc w:val="both"/>
        <w:rPr>
          <w:sz w:val="22"/>
          <w:szCs w:val="22"/>
        </w:rPr>
      </w:pPr>
      <w:r>
        <w:rPr>
          <w:sz w:val="22"/>
          <w:szCs w:val="22"/>
        </w:rPr>
        <w:t>In 1991, Varela, Thompson and Rosch introduced enaction as the process by which living systems bring forth a world through structural coupling, so that what is experienced is not passively received but actively constituted by the system’s own organisational dynamics. The enactive programme, however, lacked a formal measure of the cost of this bringing</w:t>
      </w:r>
      <w:r>
        <w:rPr>
          <w:sz w:val="22"/>
          <w:szCs w:val="22"/>
        </w:rPr>
        <w:noBreakHyphen/>
        <w:t>forth: the compulsion by which a merely potential, dispositional state is forced into stable, enacted existence. This paper supplies that measure. That compulsion is coercivity, and its quantitative expression is the coercivity law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 the foundational structural identity of the FGIR programme. Although this equation appears throughout the FGIR Trilogy, no self</w:t>
      </w:r>
      <w:r>
        <w:rPr>
          <w:sz w:val="22"/>
          <w:szCs w:val="22"/>
        </w:rPr>
        <w:noBreakHyphen/>
        <w:t>contained derivation has previously been published. This paper establishes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as a rigorously conditional result: given the Saturation Assumption and the Yolles ontological embedding as working postulates, the coercivity law follows by rigorous derivation from the SRP and Fisher–Rao geometry. The paper’s contribution is to precisely characterise what those postulates require, to show that the derivation is valid conditional on them. The derivation proceeds in three stages. First, the Saturation–Rigidity Principle (SRP) is stated as a meta</w:t>
      </w:r>
      <w:r>
        <w:rPr>
          <w:sz w:val="22"/>
          <w:szCs w:val="22"/>
        </w:rPr>
        <w:noBreakHyphen/>
        <w:t>law imposing three simultaneous conditions on any structure that persists: capacity saturation, defect rigidity, and rapid locking. The SRP follows three operational axioms: admissibility, defect rigidity, and coercivity. Second, these axioms are applied to a general information manifold. Under saturation conditions, the admissibility energy necessarily factorises as </w:t>
      </w:r>
      <m:oMath>
        <m:r>
          <w:rPr>
            <w:rFonts w:ascii="Cambria Math" w:hAnsi="Cambria Math"/>
            <w:sz w:val="22"/>
            <w:szCs w:val="22"/>
          </w:rPr>
          <m:t>E=F</m:t>
        </m:r>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 where </w:t>
      </w:r>
      <m:oMath>
        <m:r>
          <w:rPr>
            <w:rFonts w:ascii="Cambria Math" w:hAnsi="Cambria Math"/>
            <w:sz w:val="22"/>
            <w:szCs w:val="22"/>
          </w:rPr>
          <m:t>F</m:t>
        </m:r>
      </m:oMath>
      <w:r>
        <w:rPr>
          <w:sz w:val="22"/>
          <w:szCs w:val="22"/>
        </w:rPr>
        <w:t> is the total information mass and </w:t>
      </w:r>
      <m:oMath>
        <m:r>
          <w:rPr>
            <w:rFonts w:ascii="Cambria Math" w:hAnsi="Cambria Math"/>
            <w:sz w:val="22"/>
            <w:szCs w:val="22"/>
          </w:rPr>
          <m:t>c</m:t>
        </m:r>
      </m:oMath>
      <w:r>
        <w:rPr>
          <w:sz w:val="22"/>
          <w:szCs w:val="22"/>
        </w:rPr>
        <w:t> the global coercivity constant. This factorisation emerges from the geometry of the manifold, not from an assumption. Third, the general law is specialised to probability manifolds equipped with the Fisher–Rao metric, the unique Riemannian structure invariant under all statistically legitimate transformations. The ontological embedding </w:t>
      </w:r>
      <m:oMath>
        <m:r>
          <w:rPr>
            <w:rFonts w:ascii="Cambria Math" w:hAnsi="Cambria Math"/>
            <w:sz w:val="22"/>
            <w:szCs w:val="22"/>
          </w:rPr>
          <m:t>I→</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oMath>
      <w:r>
        <w:rPr>
          <w:sz w:val="22"/>
          <w:szCs w:val="22"/>
        </w:rPr>
        <w:t> identifies the abstract information potential with the Fisher information density on the operative field, yielding the FGIR coercivity law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 A freezing projection </w:t>
      </w:r>
      <m:oMath>
        <m:r>
          <w:rPr>
            <w:rFonts w:ascii="Cambria Math" w:hAnsi="Cambria Math"/>
            <w:sz w:val="22"/>
            <w:szCs w:val="22"/>
          </w:rPr>
          <m:t>π</m:t>
        </m:r>
      </m:oMath>
      <w:r>
        <w:rPr>
          <w:sz w:val="22"/>
          <w:szCs w:val="22"/>
        </w:rPr>
        <w:t> then maps the incorporeal law onto corporeal fields via two structurally distinct pathways. The first is a direct freezing projection: under three postulates (dimensional reduction F1, constitutional identification F2, energy preservation F3),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projects onto each corporeal context, yielding a domain</w:t>
      </w:r>
      <w:r>
        <w:rPr>
          <w:sz w:val="22"/>
          <w:szCs w:val="22"/>
        </w:rPr>
        <w:noBreakHyphen/>
        <w:t>specific persistence law. Einstein’s </w:t>
      </w:r>
      <m:oMath>
        <m:r>
          <w:rPr>
            <w:rFonts w:ascii="Cambria Math" w:hAnsi="Cambria Math"/>
            <w:sz w:val="22"/>
            <w:szCs w:val="22"/>
          </w:rPr>
          <m:t>E=m</m:t>
        </m:r>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is one such direct projection, the most familiar, but conditional on the discharge of bridge conditions. The second pathway is the Constitutional Persistence Cycle (CPC): following Łojasiewicz rigidity lock, Berezin–Pfaffian entity collapse, and Picard–Lefschetz monodromy reset, the CPC generates a persistent random walk governed by the telegrapher’s equation, from which the Schrödinger equation (quantum), the diffusion equation (classical), and the Dirac equation (relativistic quantum) emerge as limiting cases. The Schrödinger equation is therefore, conditional on the Nelson (1966) stochastic mechanics identification (an external borrowed result flagged as a Volume II open programme), more structurally significant than the Einstein projection: it is dynamic rather than static, and domain</w:t>
      </w:r>
      <w:r>
        <w:rPr>
          <w:sz w:val="22"/>
          <w:szCs w:val="22"/>
        </w:rPr>
        <w:noBreakHyphen/>
        <w:t>transcendent through the telegrapher’s equation.</w:t>
      </w:r>
    </w:p>
    <w:p w14:paraId="3874B4BC" w14:textId="77777777" w:rsidR="004D2D6C" w:rsidRPr="00C651E7" w:rsidRDefault="00000000" w:rsidP="00E12101">
      <w:pPr>
        <w:spacing w:after="160" w:line="276" w:lineRule="auto"/>
        <w:jc w:val="both"/>
        <w:rPr>
          <w:sz w:val="22"/>
          <w:szCs w:val="22"/>
        </w:rPr>
      </w:pPr>
      <w:r>
        <w:rPr>
          <w:b/>
          <w:bCs/>
          <w:sz w:val="22"/>
          <w:szCs w:val="22"/>
        </w:rPr>
        <w:t xml:space="preserve">Keywords: </w:t>
      </w:r>
      <w:r>
        <w:rPr>
          <w:sz w:val="22"/>
          <w:szCs w:val="22"/>
        </w:rPr>
        <w:t>Saturation-Rigidity Principle; Fisher Information; coercivity; information manifold; admissibility energy; Fisher-Generative Information Realism; Constitutional Persistence Cycle; Schrödinger equation; Telegrapher's equation.</w:t>
      </w:r>
    </w:p>
    <w:p w14:paraId="704663D7" w14:textId="77777777" w:rsidR="004D2D6C" w:rsidRPr="00C651E7" w:rsidRDefault="00000000">
      <w:pPr>
        <w:pStyle w:val="Heading1"/>
        <w:rPr>
          <w:sz w:val="22"/>
          <w:szCs w:val="22"/>
        </w:rPr>
      </w:pPr>
      <w:r>
        <w:rPr>
          <w:sz w:val="22"/>
          <w:szCs w:val="22"/>
        </w:rPr>
        <w:t>1.  Introduction</w:t>
      </w:r>
    </w:p>
    <w:p w14:paraId="57711D40" w14:textId="77777777" w:rsidR="004D2D6C" w:rsidRPr="00C651E7" w:rsidRDefault="00000000">
      <w:pPr>
        <w:spacing w:after="160" w:line="276" w:lineRule="auto"/>
        <w:jc w:val="both"/>
        <w:rPr>
          <w:sz w:val="22"/>
          <w:szCs w:val="22"/>
        </w:rPr>
      </w:pPr>
      <w:r>
        <w:rPr>
          <w:sz w:val="22"/>
          <w:szCs w:val="22"/>
        </w:rPr>
        <w:lastRenderedPageBreak/>
        <w:t xml:space="preserve">In 1991, Varela, Thompson and Rosch introduced </w:t>
      </w:r>
      <w:r>
        <w:rPr>
          <w:i/>
          <w:iCs/>
          <w:sz w:val="22"/>
          <w:szCs w:val="22"/>
        </w:rPr>
        <w:t>enaction</w:t>
      </w:r>
      <w:r>
        <w:rPr>
          <w:sz w:val="22"/>
          <w:szCs w:val="22"/>
        </w:rPr>
        <w:t xml:space="preserve"> as the process by which a living system brings forth its world through active structural coupling, rather than passively representing a pre-given reality. What is experienced is not an internal model but the outcome of the system's own organisational dynamics. Yet the enactive programme left a critical gap: it lacked a formal measure of the cost of enaction. If a system must actively constitute its world, what quantifies the structural effort required to transform a merely potential, dispositional state into a stable, enacted existence? This paper supplies that measure.</w:t>
      </w:r>
    </w:p>
    <w:p w14:paraId="297BFAB1" w14:textId="77777777" w:rsidR="006A5004" w:rsidRPr="00E663D9" w:rsidRDefault="00E663D9" w:rsidP="006A5004">
      <w:pPr>
        <w:spacing w:after="160" w:line="276" w:lineRule="auto"/>
        <w:jc w:val="both"/>
        <w:rPr>
          <w:sz w:val="22"/>
          <w:szCs w:val="22"/>
        </w:rPr>
      </w:pPr>
      <w:r>
        <w:rPr>
          <w:sz w:val="22"/>
          <w:szCs w:val="22"/>
        </w:rPr>
        <w:t>To understand what this cost can and cannot be, we must first recognise the ontological boundaries of the Fisher</w:t>
      </w:r>
      <w:r>
        <w:rPr>
          <w:sz w:val="22"/>
          <w:szCs w:val="22"/>
        </w:rPr>
        <w:noBreakHyphen/>
        <w:t xml:space="preserve">Generative Informational Realism (FGIR) framework, a formal ontology in which reality is structured by three incorporeal informational fields (dispositional </w:t>
      </w:r>
      <m:oMath>
        <m:r>
          <w:rPr>
            <w:rFonts w:ascii="Cambria Math" w:hAnsi="Cambria Math"/>
            <w:sz w:val="22"/>
            <w:szCs w:val="22"/>
          </w:rPr>
          <m:t>J</m:t>
        </m:r>
      </m:oMath>
      <w:r>
        <w:rPr>
          <w:sz w:val="22"/>
          <w:szCs w:val="22"/>
        </w:rPr>
        <w:t xml:space="preserve">, operative </w:t>
      </w:r>
      <m:oMath>
        <m:r>
          <w:rPr>
            <w:rFonts w:ascii="Cambria Math" w:hAnsi="Cambria Math"/>
            <w:sz w:val="22"/>
            <w:szCs w:val="22"/>
          </w:rPr>
          <m:t>I</m:t>
        </m:r>
      </m:oMath>
      <w:r>
        <w:rPr>
          <w:sz w:val="22"/>
          <w:szCs w:val="22"/>
        </w:rPr>
        <w:t xml:space="preserve">, and sustentative </w:t>
      </w:r>
      <m:oMath>
        <m:r>
          <w:rPr>
            <w:rFonts w:ascii="Cambria Math" w:hAnsi="Cambria Math"/>
            <w:sz w:val="22"/>
            <w:szCs w:val="22"/>
          </w:rPr>
          <m:t>K</m:t>
        </m:r>
      </m:oMath>
      <w:r>
        <w:rPr>
          <w:sz w:val="22"/>
          <w:szCs w:val="22"/>
        </w:rPr>
        <w:t>) whose geometric interactions generate the conditions under which corporeal structures can exist. Early work on higher</w:t>
      </w:r>
      <w:r>
        <w:rPr>
          <w:sz w:val="22"/>
          <w:szCs w:val="22"/>
        </w:rPr>
        <w:noBreakHyphen/>
        <w:t>order cybernetics established the need for a multi</w:t>
      </w:r>
      <w:r>
        <w:rPr>
          <w:sz w:val="22"/>
          <w:szCs w:val="22"/>
        </w:rPr>
        <w:noBreakHyphen/>
        <w:t>layered ontology in which operative fields, dispositional structures, and enacted dynamics occupy distinct but coupled domains. This was formalised in the general theory of generic modelling and paradigm shifts, which introduced the hierarchical cybernetic orders and their associated trait structures (Yolles &amp; Fink 2015a,b,c). Subsequent metacybernetic elaborations clarified how recursion, aspect traits, and fractal patterning generate the structural constraints that govern transitions between dispositional and enacted states (Yolles 2026). Parallel developments in Imperative Theory and psychohistorical diagnostics demonstrated that symbolic dynamics, belief</w:t>
      </w:r>
      <w:r>
        <w:rPr>
          <w:sz w:val="22"/>
          <w:szCs w:val="22"/>
        </w:rPr>
        <w:noBreakHyphen/>
        <w:t>fields, and collective agency operate through informational potentials rather than energetic quantities, reinforcing the need for an incorporeal domain governed by informational fields rather than physical ones (Yolles 2025a; Yolles 2025b).</w:t>
      </w:r>
    </w:p>
    <w:p w14:paraId="144D14FF" w14:textId="77777777" w:rsidR="006A5004" w:rsidRPr="006A5004" w:rsidRDefault="006A5004" w:rsidP="006A5004">
      <w:pPr>
        <w:spacing w:after="160" w:line="276" w:lineRule="auto"/>
        <w:jc w:val="both"/>
        <w:rPr>
          <w:sz w:val="22"/>
          <w:szCs w:val="22"/>
        </w:rPr>
      </w:pPr>
      <w:r>
        <w:rPr>
          <w:sz w:val="22"/>
          <w:szCs w:val="22"/>
        </w:rPr>
        <w:t>The FGIR programme consolidated these strands by introducing the Fisher Information Field Theory (FIFT), in which the J, I, and K fields constitute the incorporeal manifold of informational potentials, gradients, and curvatures (Yolles 2025c). This incorporeal manifold contains only information: it has no energy, no matter, no spacetime, no physical fields, and no corporeal residence. The Proxy Narrowed analysis later refined this ontology by showing how Fisher</w:t>
      </w:r>
      <w:r>
        <w:rPr>
          <w:sz w:val="22"/>
          <w:szCs w:val="22"/>
        </w:rPr>
        <w:noBreakHyphen/>
        <w:t>metric tracking and ontological projection map informational structures into corporeal observables without ever identifying information with energy itself (Yolles 2026b). Quantum</w:t>
      </w:r>
      <w:r>
        <w:rPr>
          <w:sz w:val="22"/>
          <w:szCs w:val="22"/>
        </w:rPr>
        <w:noBreakHyphen/>
        <w:t>informed cybernetics further demonstrated that informational amplitudes, coherence structures, and collective</w:t>
      </w:r>
      <w:r>
        <w:rPr>
          <w:sz w:val="22"/>
          <w:szCs w:val="22"/>
        </w:rPr>
        <w:noBreakHyphen/>
        <w:t>intelligence fields behave according to Fisher–Rao geometry even when their corporeal manifestations appear energetic or material, reinforcing the distinction between informational and physical domains (Yolles &amp; Chiolerio 2026). Empirical applications—ranging from civilisational cascades and protest dynamics (Yolles 2025d) to geopolitical symbolic systems (Yolles 2025a)—showed that dispositional informational fields can drive large</w:t>
      </w:r>
      <w:r>
        <w:rPr>
          <w:sz w:val="22"/>
          <w:szCs w:val="22"/>
        </w:rPr>
        <w:noBreakHyphen/>
        <w:t>scale enacted outcomes without themselves being energetic.</w:t>
      </w:r>
    </w:p>
    <w:p w14:paraId="6C2B330E" w14:textId="77777777" w:rsidR="006A5004" w:rsidRPr="006A5004" w:rsidRDefault="006A5004" w:rsidP="006A5004">
      <w:pPr>
        <w:spacing w:after="160" w:line="276" w:lineRule="auto"/>
        <w:jc w:val="both"/>
        <w:rPr>
          <w:sz w:val="22"/>
          <w:szCs w:val="22"/>
        </w:rPr>
      </w:pPr>
      <w:r>
        <w:rPr>
          <w:sz w:val="22"/>
          <w:szCs w:val="22"/>
        </w:rPr>
        <w:t xml:space="preserve">Within this lineage, the present paper clarifies the ontological consequence: the cost of enaction cannot be energy expenditure, work, mass, or curvature in spacetime, for all of these belong exclusively to corporeality. Enaction is the process by which information becomes instantiated as energy in the corporeal implicate field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impl</m:t>
            </m:r>
          </m:sub>
        </m:sSub>
      </m:oMath>
      <w:r>
        <w:rPr>
          <w:sz w:val="22"/>
          <w:szCs w:val="22"/>
        </w:rPr>
        <w:t xml:space="preserve">and as matter in the corporeal explicate field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expl</m:t>
            </m:r>
          </m:sub>
        </m:sSub>
      </m:oMath>
      <w:r>
        <w:rPr>
          <w:sz w:val="22"/>
          <w:szCs w:val="22"/>
        </w:rPr>
        <w:t>, where matter is the frozen, observable expression of enacted energy. This transformation is not free. It requires a rigidity constraint on the information manifold, a constraint that is geometric rather than energetic. That rigidity is what we call coercivity, and its cost is a purely geometric invariant arising from the Fisher–Rao structure of the operative manifold.</w:t>
      </w:r>
    </w:p>
    <w:p w14:paraId="505297AC" w14:textId="77777777" w:rsidR="004D2D6C" w:rsidRPr="00C651E7" w:rsidRDefault="00000000">
      <w:pPr>
        <w:spacing w:after="160" w:line="276" w:lineRule="auto"/>
        <w:jc w:val="both"/>
        <w:rPr>
          <w:sz w:val="22"/>
          <w:szCs w:val="22"/>
        </w:rPr>
      </w:pPr>
      <w:r>
        <w:rPr>
          <w:sz w:val="22"/>
          <w:szCs w:val="22"/>
        </w:rPr>
        <w:lastRenderedPageBreak/>
        <w:t>A quantum analogue makes this concrete. In quantum mechanics, a wavefunction (an informational amplitude) is not directly observable; only upon measurement does it collapse into a definite particle detection, an event with energy and momentum. The transition from the quantum potential to an actualised particle is a form of enaction: information becomes matter. Similarly, in quantum field theory, vacuum fluctuations (information in the implicate order) can condense into real particles under the right boundary conditions. FGIR generalises this: the cost measured by the coercivity law is the rigidity required for any informational form, quantum, classical, biological, or social, to cross the threshold from potential to enacted existence. This is the modern analogue of the old aether, but without the pitfalls of a physical medium.</w:t>
      </w:r>
    </w:p>
    <w:p w14:paraId="0B91776E" w14:textId="77777777" w:rsidR="004D2D6C" w:rsidRPr="00C651E7" w:rsidRDefault="00000000">
      <w:pPr>
        <w:spacing w:after="160" w:line="276" w:lineRule="auto"/>
        <w:jc w:val="both"/>
        <w:rPr>
          <w:sz w:val="22"/>
          <w:szCs w:val="22"/>
        </w:rPr>
      </w:pPr>
      <w:r>
        <w:rPr>
          <w:sz w:val="22"/>
          <w:szCs w:val="22"/>
        </w:rPr>
        <w:t>The form of the cost is a geometric invariant. It is the scalar functional</w:t>
      </w:r>
    </w:p>
    <w:p w14:paraId="669F778C" w14:textId="77777777" w:rsidR="004D2D6C" w:rsidRPr="00C651E7" w:rsidRDefault="00000000" w:rsidP="00C651E7">
      <w:pPr>
        <w:spacing w:before="120" w:after="120"/>
        <w:jc w:val="right"/>
        <w:rPr>
          <w:sz w:val="22"/>
          <w:szCs w:val="22"/>
        </w:rPr>
      </w:pPr>
      <w:r>
        <w:rPr>
          <w:i/>
          <w:iCs/>
          <w:sz w:val="22"/>
          <w:szCs w:val="22"/>
        </w:rPr>
        <w:t xml:space="preserve">E = </w:t>
      </w:r>
      <w:r>
        <w:rPr>
          <w:sz w:val="22"/>
          <w:szCs w:val="22"/>
        </w:rPr>
        <w:t>inf</w:t>
      </w:r>
      <w:r>
        <w:rPr>
          <w:i/>
          <w:iCs/>
          <w:sz w:val="22"/>
          <w:szCs w:val="22"/>
        </w:rPr>
        <w:t>ₛ</w:t>
      </w:r>
      <w:r>
        <w:rPr>
          <w:rFonts w:ascii="Cambria Math" w:hAnsi="Cambria Math" w:cs="Cambria Math"/>
          <w:sz w:val="22"/>
          <w:szCs w:val="22"/>
        </w:rPr>
        <w:t>∈</w:t>
      </w:r>
      <w:r>
        <w:rPr>
          <w:sz w:val="22"/>
          <w:szCs w:val="22"/>
        </w:rPr>
        <w:t>ġ</w:t>
      </w:r>
      <w:r>
        <w:rPr>
          <w:i/>
          <w:iCs/>
          <w:sz w:val="22"/>
          <w:szCs w:val="22"/>
        </w:rPr>
        <w:t>ₐₙₘ ∫m I</w:t>
      </w:r>
      <w:r>
        <w:rPr>
          <w:sz w:val="22"/>
          <w:szCs w:val="22"/>
        </w:rPr>
        <w:t>(</w:t>
      </w:r>
      <w:r>
        <w:rPr>
          <w:i/>
          <w:iCs/>
          <w:sz w:val="22"/>
          <w:szCs w:val="22"/>
        </w:rPr>
        <w:t>x</w:t>
      </w:r>
      <w:r>
        <w:rPr>
          <w:sz w:val="22"/>
          <w:szCs w:val="22"/>
        </w:rPr>
        <w:t>)</w:t>
      </w:r>
      <w:r>
        <w:rPr>
          <w:i/>
          <w:iCs/>
          <w:sz w:val="22"/>
          <w:szCs w:val="22"/>
        </w:rPr>
        <w:t xml:space="preserve"> ‖</w:t>
      </w:r>
      <w:r>
        <w:rPr>
          <w:rFonts w:ascii="Cambria Math" w:hAnsi="Cambria Math" w:cs="Cambria Math"/>
          <w:i/>
          <w:iCs/>
          <w:sz w:val="22"/>
          <w:szCs w:val="22"/>
        </w:rPr>
        <w:t>∇</w:t>
      </w:r>
      <w:r>
        <w:rPr>
          <w:sz w:val="22"/>
          <w:szCs w:val="22"/>
        </w:rPr>
        <w:t>ₛ</w:t>
      </w:r>
      <w:r>
        <w:rPr>
          <w:i/>
          <w:iCs/>
          <w:sz w:val="22"/>
          <w:szCs w:val="22"/>
        </w:rPr>
        <w:t>I</w:t>
      </w:r>
      <w:r>
        <w:rPr>
          <w:sz w:val="22"/>
          <w:szCs w:val="22"/>
        </w:rPr>
        <w:t>(</w:t>
      </w:r>
      <w:r>
        <w:rPr>
          <w:i/>
          <w:iCs/>
          <w:sz w:val="22"/>
          <w:szCs w:val="22"/>
        </w:rPr>
        <w:t>x</w:t>
      </w:r>
      <w:r>
        <w:rPr>
          <w:sz w:val="22"/>
          <w:szCs w:val="22"/>
        </w:rPr>
        <w:t>)</w:t>
      </w:r>
      <w:r>
        <w:rPr>
          <w:i/>
          <w:iCs/>
          <w:sz w:val="22"/>
          <w:szCs w:val="22"/>
        </w:rPr>
        <w:t>‖ₛ² dμₛ</w:t>
      </w:r>
      <w:r>
        <w:rPr>
          <w:sz w:val="22"/>
          <w:szCs w:val="22"/>
        </w:rPr>
        <w:t>(</w:t>
      </w:r>
      <w:r>
        <w:rPr>
          <w:i/>
          <w:iCs/>
          <w:sz w:val="22"/>
          <w:szCs w:val="22"/>
        </w:rPr>
        <w:t>x</w:t>
      </w:r>
      <w:r>
        <w:rPr>
          <w:sz w:val="22"/>
          <w:szCs w:val="22"/>
        </w:rPr>
        <w:t>)</w:t>
      </w:r>
      <w:r>
        <w:rPr>
          <w:i/>
          <w:iCs/>
          <w:sz w:val="22"/>
          <w:szCs w:val="22"/>
        </w:rPr>
        <w:t>,</w:t>
      </w:r>
      <w:r>
        <w:rPr>
          <w:sz w:val="22"/>
          <w:szCs w:val="22"/>
        </w:rPr>
        <w:t xml:space="preserve"> </w:t>
      </w:r>
      <w:r>
        <w:rPr>
          <w:sz w:val="22"/>
          <w:szCs w:val="22"/>
        </w:rPr>
        <w:tab/>
      </w:r>
      <w:r>
        <w:rPr>
          <w:sz w:val="22"/>
          <w:szCs w:val="22"/>
        </w:rPr>
        <w:tab/>
      </w:r>
      <w:r>
        <w:rPr>
          <w:sz w:val="22"/>
          <w:szCs w:val="22"/>
        </w:rPr>
        <w:tab/>
      </w:r>
      <w:r>
        <w:rPr>
          <w:sz w:val="22"/>
          <w:szCs w:val="22"/>
        </w:rPr>
        <w:tab/>
        <w:t xml:space="preserve">   (1)</w:t>
      </w:r>
    </w:p>
    <w:p w14:paraId="0EBA25BB" w14:textId="77777777" w:rsidR="0010759D" w:rsidRPr="0010759D" w:rsidRDefault="0010759D" w:rsidP="0009675A">
      <w:pPr>
        <w:spacing w:after="160" w:line="278" w:lineRule="auto"/>
        <w:jc w:val="both"/>
        <w:rPr>
          <w:sz w:val="22"/>
          <w:szCs w:val="22"/>
        </w:rPr>
      </w:pPr>
      <w:r>
        <w:rPr>
          <w:sz w:val="22"/>
          <w:szCs w:val="22"/>
        </w:rPr>
        <w:t xml:space="preserve">where </w:t>
      </w:r>
      <m:oMath>
        <m:r>
          <m:rPr>
            <m:scr m:val="script"/>
          </m:rPr>
          <w:rPr>
            <w:rFonts w:ascii="Cambria Math" w:hAnsi="Cambria Math"/>
            <w:sz w:val="22"/>
            <w:szCs w:val="22"/>
          </w:rPr>
          <m:t>M</m:t>
        </m:r>
      </m:oMath>
      <w:r>
        <w:rPr>
          <w:sz w:val="22"/>
          <w:szCs w:val="22"/>
        </w:rPr>
        <w:t xml:space="preserve">is the information manifold, </w:t>
      </w:r>
      <m:oMath>
        <m:r>
          <w:rPr>
            <w:rFonts w:ascii="Cambria Math" w:hAnsi="Cambria Math"/>
            <w:sz w:val="22"/>
            <w:szCs w:val="22"/>
          </w:rPr>
          <m:t>I(x)</m:t>
        </m:r>
      </m:oMath>
      <w:r>
        <w:rPr>
          <w:sz w:val="22"/>
          <w:szCs w:val="22"/>
        </w:rPr>
        <w:t xml:space="preserve">the information potential, and </w:t>
      </w:r>
      <m:oMath>
        <m:sSub>
          <m:sSubPr>
            <m:ctrlPr>
              <w:rPr>
                <w:rFonts w:ascii="Cambria Math" w:hAnsi="Cambria Math"/>
                <w:sz w:val="22"/>
                <w:szCs w:val="22"/>
              </w:rPr>
            </m:ctrlPr>
          </m:sSubPr>
          <m:e>
            <m:r>
              <m:rPr>
                <m:scr m:val="script"/>
              </m:rPr>
              <w:rPr>
                <w:rFonts w:ascii="Cambria Math" w:hAnsi="Cambria Math"/>
                <w:sz w:val="22"/>
                <w:szCs w:val="22"/>
              </w:rPr>
              <m:t>G</m:t>
            </m:r>
          </m:e>
          <m:sub>
            <m:r>
              <m:rPr>
                <m:sty m:val="p"/>
              </m:rPr>
              <w:rPr>
                <w:rFonts w:ascii="Cambria Math" w:hAnsi="Cambria Math"/>
                <w:sz w:val="22"/>
                <w:szCs w:val="22"/>
              </w:rPr>
              <m:t>adm</m:t>
            </m:r>
          </m:sub>
        </m:sSub>
      </m:oMath>
      <w:r>
        <w:rPr>
          <w:sz w:val="22"/>
          <w:szCs w:val="22"/>
        </w:rPr>
        <w:t>the class of admissible Riemannian metrics. This object is geometric, scalar, invariant under admissible metrics, purely informational, non</w:t>
      </w:r>
      <w:r>
        <w:rPr>
          <w:sz w:val="22"/>
          <w:szCs w:val="22"/>
        </w:rPr>
        <w:noBreakHyphen/>
        <w:t>energetic, and non</w:t>
      </w:r>
      <w:r>
        <w:rPr>
          <w:sz w:val="22"/>
          <w:szCs w:val="22"/>
        </w:rPr>
        <w:noBreakHyphen/>
        <w:t xml:space="preserve">corporeal. It measures the minimal geometric rigidity required to stabilise the information potential under the Saturation–Rigidity Principle (SRP). This is the only form the cost can take in incorporeality. The cost sits on the information manifold </w:t>
      </w:r>
      <m:oMath>
        <m:r>
          <m:rPr>
            <m:scr m:val="script"/>
          </m:rPr>
          <w:rPr>
            <w:rFonts w:ascii="Cambria Math" w:hAnsi="Cambria Math"/>
            <w:sz w:val="22"/>
            <w:szCs w:val="22"/>
          </w:rPr>
          <m:t>M</m:t>
        </m:r>
      </m:oMath>
      <w:r>
        <w:rPr>
          <w:sz w:val="22"/>
          <w:szCs w:val="22"/>
        </w:rPr>
        <w:t>itself, before any freezing, before any corporeal interpretation, before any residence dynamics, outside the H</w:t>
      </w:r>
      <w:r>
        <w:rPr>
          <w:sz w:val="22"/>
          <w:szCs w:val="22"/>
        </w:rPr>
        <w:noBreakHyphen/>
        <w:t xml:space="preserve">manifold (the transverse entanglement axis through which incorporeal informational structure becomes eligible for residence in the corporeal field, coupling the incorporeal and corporeal realms across all four fields J, I, K, C; this is distinct from the lateral B-manifolds, the field-specific implicate–explicate interfaces internal to each autonomous field, introduced in §4.2) and outside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impl</m:t>
            </m:r>
          </m:sub>
        </m:sSub>
      </m:oMath>
      <w:r>
        <w:rPr>
          <w:sz w:val="22"/>
          <w:szCs w:val="22"/>
        </w:rPr>
        <w:t xml:space="preserve"> and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expl</m:t>
            </m:r>
          </m:sub>
        </m:sSub>
      </m:oMath>
      <w:r>
        <w:rPr>
          <w:sz w:val="22"/>
          <w:szCs w:val="22"/>
        </w:rPr>
        <w:t>. It is a property of the geometry of information and not of the corporeal world.</w:t>
      </w:r>
    </w:p>
    <w:p w14:paraId="164631AE" w14:textId="77777777" w:rsidR="0009675A" w:rsidRDefault="00000000" w:rsidP="0009675A">
      <w:pPr>
        <w:spacing w:after="160" w:line="278" w:lineRule="auto"/>
        <w:jc w:val="both"/>
        <w:rPr>
          <w:sz w:val="22"/>
          <w:szCs w:val="22"/>
        </w:rPr>
      </w:pPr>
      <w:r>
        <w:rPr>
          <w:sz w:val="22"/>
          <w:szCs w:val="22"/>
        </w:rPr>
        <w:t>The freezing projection π is defined only within the corporeal implicate field C</w:t>
      </w:r>
      <w:r>
        <w:rPr>
          <w:sz w:val="22"/>
          <w:szCs w:val="22"/>
          <w:vertAlign w:val="subscript"/>
        </w:rPr>
        <w:t>impl</w:t>
      </w:r>
      <w:r>
        <w:rPr>
          <w:sz w:val="22"/>
          <w:szCs w:val="22"/>
        </w:rPr>
        <w:t xml:space="preserve"> and only when the R(6) closure conditions of the FGIR hierarchy are satisfied, that is, under classical physical conditions where spacetime is four-dimensional and Lorentzian, and where energy and momentum are conserved. The projection does not change the value of the cost; it changes its ontological domain. Postulate F3 states π(</w:t>
      </w:r>
      <w:r>
        <w:rPr>
          <w:i/>
          <w:iCs/>
          <w:sz w:val="22"/>
          <w:szCs w:val="22"/>
        </w:rPr>
        <w:t>E</w:t>
      </w:r>
      <w:r>
        <w:rPr>
          <w:sz w:val="22"/>
          <w:szCs w:val="22"/>
        </w:rPr>
        <w:t xml:space="preserve">) = Ê under these classical conditions. The equality is not absolute; it is a consequence of the three freezing postulates F1–F3 that define the projection. Before freezing, </w:t>
      </w:r>
      <w:r>
        <w:rPr>
          <w:i/>
          <w:iCs/>
          <w:sz w:val="22"/>
          <w:szCs w:val="22"/>
        </w:rPr>
        <w:t>E</w:t>
      </w:r>
      <w:r>
        <w:rPr>
          <w:sz w:val="22"/>
          <w:szCs w:val="22"/>
        </w:rPr>
        <w:t xml:space="preserve"> is the geometric admissibility cost (incorporeal). After freezing, the admissibility energy </w:t>
      </w:r>
      <m:oMath>
        <m:r>
          <w:rPr>
            <w:rFonts w:ascii="Cambria Math" w:hAnsi="Cambria Math"/>
            <w:sz w:val="22"/>
            <w:szCs w:val="22"/>
          </w:rPr>
          <m:t>E</m:t>
        </m:r>
      </m:oMath>
      <w:r>
        <w:rPr>
          <w:sz w:val="22"/>
          <w:szCs w:val="22"/>
        </w:rPr>
        <w:t xml:space="preserve"> is reinterpreted within the corporeal implicate field as physical energy. To make this explicit, we write </w:t>
      </w:r>
      <m:oMath>
        <m:sSup>
          <m:sSupPr>
            <m:ctrlPr>
              <w:rPr>
                <w:rFonts w:ascii="Cambria Math" w:hAnsi="Cambria Math"/>
                <w:sz w:val="22"/>
                <w:szCs w:val="22"/>
              </w:rPr>
            </m:ctrlPr>
          </m:sSupPr>
          <m:e>
            <m:r>
              <w:rPr>
                <w:rFonts w:ascii="Cambria Math" w:hAnsi="Cambria Math"/>
                <w:sz w:val="22"/>
                <w:szCs w:val="22"/>
              </w:rPr>
              <m:t>E</m:t>
            </m:r>
          </m:e>
          <m:sup>
            <m:r>
              <m:rPr>
                <m:sty m:val="p"/>
              </m:rPr>
              <w:rPr>
                <w:rFonts w:ascii="Cambria Math" w:hAnsi="Cambria Math"/>
                <w:sz w:val="22"/>
                <w:szCs w:val="22"/>
              </w:rPr>
              <m:t>corp</m:t>
            </m:r>
          </m:sup>
        </m:sSup>
        <m:r>
          <w:rPr>
            <w:rFonts w:ascii="Cambria Math" w:hAnsi="Cambria Math"/>
            <w:sz w:val="22"/>
            <w:szCs w:val="22"/>
          </w:rPr>
          <m:t xml:space="preserve"> </m:t>
        </m:r>
      </m:oMath>
      <w:r>
        <w:rPr>
          <w:sz w:val="22"/>
          <w:szCs w:val="22"/>
        </w:rPr>
        <w:t xml:space="preserve">for the corporeal energy reading of the invariant and </w:t>
      </w:r>
      <m:oMath>
        <m:sSup>
          <m:sSupPr>
            <m:ctrlPr>
              <w:rPr>
                <w:rFonts w:ascii="Cambria Math" w:hAnsi="Cambria Math"/>
                <w:sz w:val="22"/>
                <w:szCs w:val="22"/>
              </w:rPr>
            </m:ctrlPr>
          </m:sSupPr>
          <m:e>
            <m:r>
              <w:rPr>
                <w:rFonts w:ascii="Cambria Math" w:hAnsi="Cambria Math"/>
                <w:sz w:val="22"/>
                <w:szCs w:val="22"/>
              </w:rPr>
              <m:t>E</m:t>
            </m:r>
          </m:e>
          <m:sup>
            <m:r>
              <m:rPr>
                <m:sty m:val="p"/>
              </m:rPr>
              <w:rPr>
                <w:rFonts w:ascii="Cambria Math" w:hAnsi="Cambria Math"/>
                <w:sz w:val="22"/>
                <w:szCs w:val="22"/>
              </w:rPr>
              <m:t>inc</m:t>
            </m:r>
          </m:sup>
        </m:sSup>
      </m:oMath>
      <w:r>
        <w:rPr>
          <w:sz w:val="22"/>
          <w:szCs w:val="22"/>
        </w:rPr>
        <w:t>as a pre</w:t>
      </w:r>
      <w:r>
        <w:rPr>
          <w:sz w:val="22"/>
          <w:szCs w:val="22"/>
        </w:rPr>
        <w:noBreakHyphen/>
        <w:t>corporeal proto</w:t>
      </w:r>
      <w:r>
        <w:rPr>
          <w:sz w:val="22"/>
          <w:szCs w:val="22"/>
        </w:rPr>
        <w:noBreakHyphen/>
        <w:t>energy, where the superscript “inc” refers to its domain of definition on the incorporeal manifold rather than to its ontological interpretation. The scalar itself is preserved under the freezing projection, but its ontological domain changes. The proto</w:t>
      </w:r>
      <w:r>
        <w:rPr>
          <w:sz w:val="22"/>
          <w:szCs w:val="22"/>
        </w:rPr>
        <w:noBreakHyphen/>
        <w:t xml:space="preserve">energy </w:t>
      </w:r>
      <m:oMath>
        <m:sSup>
          <m:sSupPr>
            <m:ctrlPr>
              <w:rPr>
                <w:rFonts w:ascii="Cambria Math" w:hAnsi="Cambria Math"/>
                <w:sz w:val="22"/>
                <w:szCs w:val="22"/>
              </w:rPr>
            </m:ctrlPr>
          </m:sSupPr>
          <m:e>
            <m:r>
              <w:rPr>
                <w:rFonts w:ascii="Cambria Math" w:hAnsi="Cambria Math"/>
                <w:sz w:val="22"/>
                <w:szCs w:val="22"/>
              </w:rPr>
              <m:t>E</m:t>
            </m:r>
          </m:e>
          <m:sup>
            <m:r>
              <m:rPr>
                <m:sty m:val="p"/>
              </m:rPr>
              <w:rPr>
                <w:rFonts w:ascii="Cambria Math" w:hAnsi="Cambria Math"/>
                <w:sz w:val="22"/>
                <w:szCs w:val="22"/>
              </w:rPr>
              <m:t>inc</m:t>
            </m:r>
          </m:sup>
        </m:sSup>
      </m:oMath>
      <w:r>
        <w:rPr>
          <w:sz w:val="22"/>
          <w:szCs w:val="22"/>
        </w:rPr>
        <w:t>, when further condensed through the H</w:t>
      </w:r>
      <w:r>
        <w:rPr>
          <w:sz w:val="22"/>
          <w:szCs w:val="22"/>
        </w:rPr>
        <w:noBreakHyphen/>
        <w:t xml:space="preserve">manifold, can manifest as matter or other corporeal structures in the explicate field. The H-manifold is not a single filtering point but a continuous transverse entanglement axis comprising two segments: a Corporeal-Transverse-Explicate (CTE) segment, governing condensation of incorporeal potential into corporeal explicate structure (the case described here), and an Incorporeal-Transverse-Implicate (ITI) segment, which couples the incorporeal fields J, I, K to the corporeal implicate field C_impl at the implicate stratum, prior to and independent of any corporeal explicate expression. (The internal coupling among J, I, K themselves is lateral and vertical-axis structure, treated in §4.2.) The incorporeal variables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oMath>
      <w:r>
        <w:rPr>
          <w:sz w:val="22"/>
          <w:szCs w:val="22"/>
        </w:rPr>
        <w:t xml:space="preserve">and </w:t>
      </w:r>
      <m:oMath>
        <m:r>
          <w:rPr>
            <w:rFonts w:ascii="Cambria Math" w:hAnsi="Cambria Math"/>
            <w:sz w:val="22"/>
            <w:szCs w:val="22"/>
          </w:rPr>
          <m:t>c</m:t>
        </m:r>
      </m:oMath>
      <w:r>
        <w:rPr>
          <w:sz w:val="22"/>
          <w:szCs w:val="22"/>
        </w:rPr>
        <w:t xml:space="preserve">, when emergent within corporeality, become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I</m:t>
                </m:r>
              </m:e>
            </m:acc>
          </m:e>
          <m:sub>
            <m:r>
              <w:rPr>
                <w:rFonts w:ascii="Cambria Math" w:hAnsi="Cambria Math"/>
                <w:sz w:val="22"/>
                <w:szCs w:val="22"/>
              </w:rPr>
              <m:t>p</m:t>
            </m:r>
          </m:sub>
        </m:sSub>
      </m:oMath>
      <w:r>
        <w:rPr>
          <w:sz w:val="22"/>
          <w:szCs w:val="22"/>
        </w:rPr>
        <w:t xml:space="preserve">and </w:t>
      </w:r>
      <m:oMath>
        <m:acc>
          <m:accPr>
            <m:ctrlPr>
              <w:rPr>
                <w:rFonts w:ascii="Cambria Math" w:hAnsi="Cambria Math"/>
                <w:sz w:val="22"/>
                <w:szCs w:val="22"/>
              </w:rPr>
            </m:ctrlPr>
          </m:accPr>
          <m:e>
            <m:r>
              <w:rPr>
                <w:rFonts w:ascii="Cambria Math" w:hAnsi="Cambria Math"/>
                <w:sz w:val="22"/>
                <w:szCs w:val="22"/>
              </w:rPr>
              <m:t>c</m:t>
            </m:r>
          </m:e>
        </m:acc>
      </m:oMath>
      <w:r>
        <w:rPr>
          <w:sz w:val="22"/>
          <w:szCs w:val="22"/>
        </w:rPr>
        <w:t xml:space="preserve">, which take particular representations under specific local contexts. By a </w:t>
      </w:r>
      <w:r>
        <w:rPr>
          <w:i/>
          <w:iCs/>
          <w:sz w:val="22"/>
          <w:szCs w:val="22"/>
        </w:rPr>
        <w:t>local context</w:t>
      </w:r>
      <w:r>
        <w:rPr>
          <w:sz w:val="22"/>
          <w:szCs w:val="22"/>
        </w:rPr>
        <w:t xml:space="preserve"> we mean a corporeal interpretive regime (defined by the type of field, its symmetry structure, propagation law, and constitutive relations) within </w:t>
      </w:r>
      <w:r>
        <w:rPr>
          <w:sz w:val="22"/>
          <w:szCs w:val="22"/>
        </w:rPr>
        <w:lastRenderedPageBreak/>
        <w:t xml:space="preserve">which the frozen variables acquire definite physical meaning. Examples are that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I</m:t>
                </m:r>
              </m:e>
            </m:acc>
          </m:e>
          <m:sub>
            <m:r>
              <w:rPr>
                <w:rFonts w:ascii="Cambria Math" w:hAnsi="Cambria Math"/>
                <w:sz w:val="22"/>
                <w:szCs w:val="22"/>
              </w:rPr>
              <m:t>p</m:t>
            </m:r>
          </m:sub>
        </m:sSub>
      </m:oMath>
      <w:r>
        <w:rPr>
          <w:sz w:val="22"/>
          <w:szCs w:val="22"/>
        </w:rPr>
        <w:t xml:space="preserve"> becomes mass and </w:t>
      </w:r>
      <m:oMath>
        <m:acc>
          <m:accPr>
            <m:ctrlPr>
              <w:rPr>
                <w:rFonts w:ascii="Cambria Math" w:hAnsi="Cambria Math"/>
                <w:sz w:val="22"/>
                <w:szCs w:val="22"/>
              </w:rPr>
            </m:ctrlPr>
          </m:accPr>
          <m:e>
            <m:r>
              <w:rPr>
                <w:rFonts w:ascii="Cambria Math" w:hAnsi="Cambria Math"/>
                <w:sz w:val="22"/>
                <w:szCs w:val="22"/>
              </w:rPr>
              <m:t>c</m:t>
            </m:r>
          </m:e>
        </m:acc>
      </m:oMath>
      <w:r>
        <w:rPr>
          <w:sz w:val="22"/>
          <w:szCs w:val="22"/>
        </w:rPr>
        <w:t xml:space="preserve">becomes the speed of light under the classical relativistic context; in other contexts,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I</m:t>
                </m:r>
              </m:e>
            </m:acc>
          </m:e>
          <m:sub>
            <m:r>
              <w:rPr>
                <w:rFonts w:ascii="Cambria Math" w:hAnsi="Cambria Math"/>
                <w:sz w:val="22"/>
                <w:szCs w:val="22"/>
              </w:rPr>
              <m:t>p</m:t>
            </m:r>
          </m:sub>
        </m:sSub>
      </m:oMath>
      <w:r>
        <w:rPr>
          <w:sz w:val="22"/>
          <w:szCs w:val="22"/>
        </w:rPr>
        <w:t xml:space="preserve"> may appear as charge density or field intensity in the electromagnetic context, as mass–energy density in the gravitational context, as concentration or potential density in the diffusive context, and as </w:t>
      </w:r>
      <m:oMath>
        <m:r>
          <m:rPr>
            <m:sty m:val="p"/>
          </m:rPr>
          <w:rPr>
            <w:rFonts w:ascii="Cambria Math" w:hAnsi="Cambria Math"/>
            <w:sz w:val="22"/>
            <w:szCs w:val="22"/>
          </w:rPr>
          <m:t>∣</m:t>
        </m:r>
        <m:r>
          <w:rPr>
            <w:rFonts w:ascii="Cambria Math" w:hAnsi="Cambria Math"/>
            <w:sz w:val="22"/>
            <w:szCs w:val="22"/>
          </w:rPr>
          <m:t>ψ</m:t>
        </m:r>
        <m:sSup>
          <m:sSupPr>
            <m:ctrlPr>
              <w:rPr>
                <w:rFonts w:ascii="Cambria Math" w:hAnsi="Cambria Math"/>
                <w:sz w:val="22"/>
                <w:szCs w:val="22"/>
              </w:rPr>
            </m:ctrlPr>
          </m:sSupPr>
          <m:e>
            <m:r>
              <m:rPr>
                <m:sty m:val="p"/>
              </m:rPr>
              <w:rPr>
                <w:rFonts w:ascii="Cambria Math" w:hAnsi="Cambria Math"/>
                <w:sz w:val="22"/>
                <w:szCs w:val="22"/>
              </w:rPr>
              <m:t>∣</m:t>
            </m:r>
          </m:e>
          <m:sup>
            <m:r>
              <w:rPr>
                <w:rFonts w:ascii="Cambria Math" w:hAnsi="Cambria Math"/>
                <w:sz w:val="22"/>
                <w:szCs w:val="22"/>
              </w:rPr>
              <m:t>2</m:t>
            </m:r>
          </m:sup>
        </m:sSup>
      </m:oMath>
      <w:r>
        <w:rPr>
          <w:sz w:val="22"/>
          <w:szCs w:val="22"/>
        </w:rPr>
        <w:t xml:space="preserve">with </w:t>
      </w:r>
      <m:oMath>
        <m:acc>
          <m:accPr>
            <m:ctrlPr>
              <w:rPr>
                <w:rFonts w:ascii="Cambria Math" w:hAnsi="Cambria Math"/>
                <w:sz w:val="22"/>
                <w:szCs w:val="22"/>
              </w:rPr>
            </m:ctrlPr>
          </m:accPr>
          <m:e>
            <m:r>
              <w:rPr>
                <w:rFonts w:ascii="Cambria Math" w:hAnsi="Cambria Math"/>
                <w:sz w:val="22"/>
                <w:szCs w:val="22"/>
              </w:rPr>
              <m:t>c</m:t>
            </m:r>
          </m:e>
        </m:acc>
      </m:oMath>
      <w:r>
        <w:rPr>
          <w:sz w:val="22"/>
          <w:szCs w:val="22"/>
        </w:rPr>
        <w:t>as the phase</w:t>
      </w:r>
      <w:r>
        <w:rPr>
          <w:sz w:val="22"/>
          <w:szCs w:val="22"/>
        </w:rPr>
        <w:noBreakHyphen/>
        <w:t>propagation scale in the Schrödinger (quantum</w:t>
      </w:r>
      <w:r>
        <w:rPr>
          <w:sz w:val="22"/>
          <w:szCs w:val="22"/>
        </w:rPr>
        <w:noBreakHyphen/>
        <w:t>coherent) context.</w:t>
      </w:r>
    </w:p>
    <w:p w14:paraId="1DECA346" w14:textId="77777777" w:rsidR="001F2853" w:rsidRPr="001F2853" w:rsidRDefault="001F2853" w:rsidP="001F2853">
      <w:pPr>
        <w:spacing w:after="160" w:line="278" w:lineRule="auto"/>
        <w:jc w:val="both"/>
        <w:rPr>
          <w:sz w:val="22"/>
          <w:szCs w:val="22"/>
        </w:rPr>
      </w:pPr>
      <w:r>
        <w:rPr>
          <w:sz w:val="22"/>
          <w:szCs w:val="22"/>
        </w:rPr>
        <w:t>This paper extends the ideas presented in Yolles (2021, 2026) and Yolles and Frieden (2021), deepening the integration between metacybernetics, Fisher Information Field Theory (FIFT), and Informational Realism (Yolles, 2025). Earlier work established the recursive architecture of viable agency and the informational foundations of systemic organisation. The present paper advances this by focusing on Third</w:t>
      </w:r>
      <w:r>
        <w:rPr>
          <w:sz w:val="22"/>
          <w:szCs w:val="22"/>
        </w:rPr>
        <w:noBreakHyphen/>
        <w:t xml:space="preserve">Order Cybernetics (TOC), the level at which a system becomes capable of regulating </w:t>
      </w:r>
      <w:r>
        <w:rPr>
          <w:i/>
          <w:iCs/>
          <w:sz w:val="22"/>
          <w:szCs w:val="22"/>
        </w:rPr>
        <w:t>the conditions under which its own regulation is possible</w:t>
      </w:r>
      <w:r>
        <w:rPr>
          <w:sz w:val="22"/>
          <w:szCs w:val="22"/>
        </w:rPr>
        <w:t>, conditions that are typical of living systems. Whereas first</w:t>
      </w:r>
      <w:r>
        <w:rPr>
          <w:sz w:val="22"/>
          <w:szCs w:val="22"/>
        </w:rPr>
        <w:noBreakHyphen/>
        <w:t>order cybernetics concerns the regulation of behaviour, and second</w:t>
      </w:r>
      <w:r>
        <w:rPr>
          <w:sz w:val="22"/>
          <w:szCs w:val="22"/>
        </w:rPr>
        <w:noBreakHyphen/>
        <w:t>order cybernetics concerns the regulation of that regulation, third</w:t>
      </w:r>
      <w:r>
        <w:rPr>
          <w:sz w:val="22"/>
          <w:szCs w:val="22"/>
        </w:rPr>
        <w:noBreakHyphen/>
        <w:t>order cybernetics introduces a qualitatively new capacity: the ability of a system to revise, stabilise, or transform the principles that govern its own self</w:t>
      </w:r>
      <w:r>
        <w:rPr>
          <w:sz w:val="22"/>
          <w:szCs w:val="22"/>
        </w:rPr>
        <w:noBreakHyphen/>
        <w:t>organisation.</w:t>
      </w:r>
    </w:p>
    <w:p w14:paraId="1A407DB6" w14:textId="77777777" w:rsidR="001F2853" w:rsidRPr="006D3EBC" w:rsidRDefault="001F2853" w:rsidP="001F2853">
      <w:pPr>
        <w:spacing w:after="160" w:line="278" w:lineRule="auto"/>
        <w:jc w:val="both"/>
        <w:rPr>
          <w:sz w:val="22"/>
          <w:szCs w:val="22"/>
        </w:rPr>
      </w:pPr>
      <w:r>
        <w:rPr>
          <w:sz w:val="22"/>
          <w:szCs w:val="22"/>
        </w:rPr>
        <w:t>In this framework, the cybernetic orders (R(1), R(2), R(3),…) refer to successive layers of recursive organisation. The first-order recursion R(1) governs direct operative behaviour, corresponding to autopraxis or behavioural intelligence. A thermostat adjusting heat output, or an organism executing a reflexive motor action, exemplifies this level. The system acts, but does not yet observe or reorganise its own patterns of action. The second-order recursion R(2) governs (through autopoiesis) how the system monitors, evaluates, and stabilises its own behaviour, corresponding to autopoiesis or self</w:t>
      </w:r>
      <w:r>
        <w:rPr>
          <w:sz w:val="22"/>
          <w:szCs w:val="22"/>
        </w:rPr>
        <w:noBreakHyphen/>
        <w:t>organisational intelligence. A cell regulating its metabolic pathways, or an organisation adjusting internal processes in response to performance indicators, exemplifies this level. The system not only acts but also observes and reorganises its operative routines to maintain coherence.</w:t>
      </w:r>
    </w:p>
    <w:p w14:paraId="37237B52" w14:textId="77777777" w:rsidR="001F2853" w:rsidRPr="006D3EBC" w:rsidRDefault="001F2853" w:rsidP="001F2853">
      <w:pPr>
        <w:spacing w:after="160" w:line="278" w:lineRule="auto"/>
        <w:jc w:val="both"/>
        <w:rPr>
          <w:sz w:val="22"/>
          <w:szCs w:val="22"/>
        </w:rPr>
      </w:pPr>
      <w:r>
        <w:rPr>
          <w:sz w:val="22"/>
          <w:szCs w:val="22"/>
        </w:rPr>
        <w:t>The third-order recursion R(3) is the first level at which the system becomes capable of regulating the conditions under which its own stability is possible. At this level, dispositional potential and operative actuation interact through a self</w:t>
      </w:r>
      <w:r>
        <w:rPr>
          <w:sz w:val="22"/>
          <w:szCs w:val="22"/>
        </w:rPr>
        <w:noBreakHyphen/>
        <w:t>referential decision boundary, giving rise to a generative mechanism capable of reproducing its own structural logic across scales. Following Yolles (2026), this third</w:t>
      </w:r>
      <w:r>
        <w:rPr>
          <w:sz w:val="22"/>
          <w:szCs w:val="22"/>
        </w:rPr>
        <w:noBreakHyphen/>
        <w:t>order locus is identified as the fractal seed, the unique recursion point at which the system’s decision boundary acts on a class of outputs that structurally mirror its own inputs, thereby satisfying the geometric condition for self</w:t>
      </w:r>
      <w:r>
        <w:rPr>
          <w:sz w:val="22"/>
          <w:szCs w:val="22"/>
        </w:rPr>
        <w:noBreakHyphen/>
        <w:t>similar recursion.</w:t>
      </w:r>
    </w:p>
    <w:p w14:paraId="673EC836" w14:textId="77777777" w:rsidR="00566ECC" w:rsidRPr="00566ECC" w:rsidRDefault="00566ECC" w:rsidP="00566ECC">
      <w:pPr>
        <w:spacing w:after="160" w:line="278" w:lineRule="auto"/>
        <w:jc w:val="both"/>
        <w:rPr>
          <w:sz w:val="22"/>
          <w:szCs w:val="22"/>
        </w:rPr>
      </w:pPr>
      <w:r>
        <w:rPr>
          <w:sz w:val="22"/>
          <w:szCs w:val="22"/>
        </w:rPr>
        <w:t>The fractal seed is a formally derived generative operator. Its function is to enforce admissibility (the requirement that a system’s internal organisation remain within viable curvature bounds) through a dyadic bifurcation generated by the quadratic boundary penalty of FIFT. This bifurcation mechanism does more than convert dispositional potential into stabilised actuation: it also determines how many traits the higher</w:t>
      </w:r>
      <w:r>
        <w:rPr>
          <w:sz w:val="22"/>
          <w:szCs w:val="22"/>
        </w:rPr>
        <w:noBreakHyphen/>
        <w:t>order control system must express at each recursion level.</w:t>
      </w:r>
    </w:p>
    <w:p w14:paraId="6E93AE22" w14:textId="77777777" w:rsidR="00566ECC" w:rsidRPr="00566ECC" w:rsidRDefault="00566ECC" w:rsidP="00566ECC">
      <w:pPr>
        <w:tabs>
          <w:tab w:val="num" w:pos="720"/>
        </w:tabs>
        <w:spacing w:after="160" w:line="278" w:lineRule="auto"/>
        <w:jc w:val="both"/>
        <w:rPr>
          <w:sz w:val="22"/>
          <w:szCs w:val="22"/>
        </w:rPr>
      </w:pPr>
      <w:r>
        <w:rPr>
          <w:sz w:val="22"/>
          <w:szCs w:val="22"/>
        </w:rPr>
        <w:t xml:space="preserve">In this framework, a </w:t>
      </w:r>
      <w:r>
        <w:rPr>
          <w:i/>
          <w:iCs/>
          <w:sz w:val="22"/>
          <w:szCs w:val="22"/>
        </w:rPr>
        <w:t>trait</w:t>
      </w:r>
      <w:r>
        <w:rPr>
          <w:sz w:val="22"/>
          <w:szCs w:val="22"/>
        </w:rPr>
        <w:t xml:space="preserve"> is a stable polarity or structural dimension through which a cybernetic order resolves informational tension. The number of traits available to an order is not arbitrary or empirically chosen, but is mathematically fixed by the parity of the recursion level. The fractal seed at (R(3)) is the operator that propagates this trait cardinality upward through the hierarchy, producing the canonical 2–3–2–3–… parity sequence. Odd</w:t>
      </w:r>
      <w:r>
        <w:rPr>
          <w:sz w:val="22"/>
          <w:szCs w:val="22"/>
        </w:rPr>
        <w:noBreakHyphen/>
        <w:t xml:space="preserve">numbered orders (e.g., (R(1), R(3), R(5))) inherit a dyadic generative logic, meaning they must express two traits. These traits form a polarity, two stable attractors, because the </w:t>
      </w:r>
      <w:r>
        <w:rPr>
          <w:sz w:val="22"/>
          <w:szCs w:val="22"/>
        </w:rPr>
        <w:lastRenderedPageBreak/>
        <w:t>quadratic boundary penalty has a positive second derivative, forcing informational gradients to resolve into two admissible branches. Even</w:t>
      </w:r>
      <w:r>
        <w:rPr>
          <w:sz w:val="22"/>
          <w:szCs w:val="22"/>
        </w:rPr>
        <w:noBreakHyphen/>
        <w:t>numbered orders (e.g., R(2), R(4), …) inherit a triadic stabilising logic, meaning they must express three traits. These traits form a stabilising triad that distributes informational tension across three orthogonal axes, preventing collapse and maintaining coherence. This alternation between dyadic generative orders and triadic stabilising orders is not imposed by design but emerges directly from the curvature structure of the Fisher functional. The fractal seed at R(3) is the first recursion point at which the system’s decision boundary acts on outputs that structurally mirror its own inputs, satisfying the geometric condition for self</w:t>
      </w:r>
      <w:r>
        <w:rPr>
          <w:sz w:val="22"/>
          <w:szCs w:val="22"/>
        </w:rPr>
        <w:noBreakHyphen/>
        <w:t xml:space="preserve">similar recursion. </w:t>
      </w:r>
    </w:p>
    <w:p w14:paraId="328C4B7C" w14:textId="77777777" w:rsidR="001F2853" w:rsidRPr="00566ECC" w:rsidRDefault="00566ECC" w:rsidP="001F2853">
      <w:pPr>
        <w:spacing w:after="160" w:line="278" w:lineRule="auto"/>
        <w:jc w:val="both"/>
        <w:rPr>
          <w:sz w:val="22"/>
          <w:szCs w:val="22"/>
        </w:rPr>
      </w:pPr>
      <w:r>
        <w:rPr>
          <w:sz w:val="22"/>
          <w:szCs w:val="22"/>
        </w:rPr>
        <w:t>Accordingly, when considering third-order cybernetics, our interest lies in generative rigidity, rapid locking, or admissibility enforcement, with reference to the formally derived fractal generator in R(3). This operator provides the mathematically rigorous mechanism required for coercive stabilisation within FGIR. It is the point at which informational gradients, curvature constraints, and boundary penalties converge to produce the superlinear locking behaviour that underlies viable agency. In this sense, the fractal seed replaces TOC by derivation, since it is the precise informational</w:t>
      </w:r>
      <w:r>
        <w:rPr>
          <w:sz w:val="22"/>
          <w:szCs w:val="22"/>
        </w:rPr>
        <w:noBreakHyphen/>
        <w:t>geometric structure that describes TOC when grounded in the formal machinery of FIFT and the recursive ontology of FGIR.</w:t>
      </w:r>
    </w:p>
    <w:p w14:paraId="4B3894B6" w14:textId="77777777" w:rsidR="00703F7B" w:rsidRPr="00703F7B" w:rsidRDefault="00703F7B" w:rsidP="0009675A">
      <w:pPr>
        <w:spacing w:after="160" w:line="278" w:lineRule="auto"/>
        <w:jc w:val="both"/>
        <w:rPr>
          <w:sz w:val="22"/>
          <w:szCs w:val="22"/>
        </w:rPr>
      </w:pPr>
      <w:r>
        <w:rPr>
          <w:sz w:val="22"/>
          <w:szCs w:val="22"/>
        </w:rPr>
        <w:t xml:space="preserve">It should be noted that a companion derivational paper, </w:t>
      </w:r>
      <w:r>
        <w:rPr>
          <w:i/>
          <w:iCs/>
          <w:sz w:val="22"/>
          <w:szCs w:val="22"/>
        </w:rPr>
        <w:t>Enactment Tension Across Disciplinary Frames</w:t>
      </w:r>
      <w:r>
        <w:rPr>
          <w:sz w:val="22"/>
          <w:szCs w:val="22"/>
        </w:rPr>
        <w:t xml:space="preserve"> (Yolles &amp; Lin, 2025), develops the frozen and domain</w:t>
      </w:r>
      <w:r>
        <w:rPr>
          <w:sz w:val="22"/>
          <w:szCs w:val="22"/>
        </w:rPr>
        <w:noBreakHyphen/>
        <w:t xml:space="preserve">relative consequences of the presentations given here. In contrast, this paper establishes the invariant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xml:space="preserve"> on the incorporeal information manifold, including the full geometric derivation and the relevant proofs. The Enactment Tension paper then takes this invariant as a proven result, deriving its corporeal forms after freezing, showing how the same structural law generates the domain</w:t>
      </w:r>
      <w:r>
        <w:rPr>
          <w:sz w:val="22"/>
          <w:szCs w:val="22"/>
        </w:rPr>
        <w:noBreakHyphen/>
        <w:t>specific enactment tensions that appear in physics, chemistry, biology, cognition, social systems, and computational architectures. The two papers therefore form a single derivation chain: the present paper establishes the proto</w:t>
      </w:r>
      <w:r>
        <w:rPr>
          <w:sz w:val="22"/>
          <w:szCs w:val="22"/>
        </w:rPr>
        <w:noBreakHyphen/>
        <w:t xml:space="preserve">energetic invariant </w:t>
      </w:r>
      <m:oMath>
        <m:sSup>
          <m:sSupPr>
            <m:ctrlPr>
              <w:rPr>
                <w:rFonts w:ascii="Cambria Math" w:hAnsi="Cambria Math"/>
                <w:sz w:val="22"/>
                <w:szCs w:val="22"/>
              </w:rPr>
            </m:ctrlPr>
          </m:sSupPr>
          <m:e>
            <m:r>
              <w:rPr>
                <w:rFonts w:ascii="Cambria Math" w:hAnsi="Cambria Math"/>
                <w:sz w:val="22"/>
                <w:szCs w:val="22"/>
              </w:rPr>
              <m:t>E</m:t>
            </m:r>
          </m:e>
          <m:sup>
            <m:r>
              <m:rPr>
                <m:sty m:val="p"/>
              </m:rPr>
              <w:rPr>
                <w:rFonts w:ascii="Cambria Math" w:hAnsi="Cambria Math"/>
                <w:sz w:val="22"/>
                <w:szCs w:val="22"/>
              </w:rPr>
              <m:t>inc</m:t>
            </m:r>
          </m:sup>
        </m:sSup>
      </m:oMath>
      <w:r>
        <w:rPr>
          <w:sz w:val="22"/>
          <w:szCs w:val="22"/>
        </w:rPr>
        <w:t xml:space="preserve">, and the Enactment Tension paper derives the frozen expressions </w:t>
      </w:r>
      <m:oMath>
        <m:sSup>
          <m:sSupPr>
            <m:ctrlPr>
              <w:rPr>
                <w:rFonts w:ascii="Cambria Math" w:hAnsi="Cambria Math"/>
                <w:sz w:val="22"/>
                <w:szCs w:val="22"/>
              </w:rPr>
            </m:ctrlPr>
          </m:sSupPr>
          <m:e>
            <m:r>
              <w:rPr>
                <w:rFonts w:ascii="Cambria Math" w:hAnsi="Cambria Math"/>
                <w:sz w:val="22"/>
                <w:szCs w:val="22"/>
              </w:rPr>
              <m:t>E</m:t>
            </m:r>
          </m:e>
          <m:sup>
            <m:r>
              <m:rPr>
                <m:sty m:val="p"/>
              </m:rPr>
              <w:rPr>
                <w:rFonts w:ascii="Cambria Math" w:hAnsi="Cambria Math"/>
                <w:sz w:val="22"/>
                <w:szCs w:val="22"/>
              </w:rPr>
              <m:t>corp</m:t>
            </m:r>
          </m:sup>
        </m:sSup>
      </m:oMath>
      <w:r>
        <w:rPr>
          <w:sz w:val="22"/>
          <w:szCs w:val="22"/>
        </w:rPr>
        <w:t>across disciplinary contexts.</w:t>
      </w:r>
    </w:p>
    <w:p w14:paraId="54ADDA97" w14:textId="77777777" w:rsidR="004D2D6C" w:rsidRPr="00C651E7" w:rsidRDefault="00000000" w:rsidP="0009675A">
      <w:pPr>
        <w:spacing w:after="160" w:line="278" w:lineRule="auto"/>
        <w:jc w:val="both"/>
        <w:rPr>
          <w:sz w:val="22"/>
          <w:szCs w:val="22"/>
        </w:rPr>
      </w:pPr>
      <w:r>
        <w:rPr>
          <w:sz w:val="22"/>
          <w:szCs w:val="22"/>
        </w:rPr>
        <w:t>Three everyday analogies make this cost intuitively meaningful. First, surface tension: before water freezes, it has surface tension, a tension, not a substance; when the water freezes, that tension becomes a rigid boundary. Second, stress in a material: before a material is locked into place, it has internal stress, a geometric tension; when fixed, that stress becomes stored elastic energy. Third, potential field curvature: a gravitational or electric potential field has curvature; when a particle is placed in it, that curvature becomes a measurable force. In each case, a pre-physical tension becomes a physical structure, energy, or matter after freezing. This is precisely the mapping: informational tension (incorporeal) becomes energy and matter (corporeal) after freezing.</w:t>
      </w:r>
    </w:p>
    <w:p w14:paraId="2CA7AFD8" w14:textId="77777777" w:rsidR="00E1566B" w:rsidRDefault="00E1566B" w:rsidP="00E1566B">
      <w:pPr>
        <w:spacing w:after="160" w:line="276" w:lineRule="auto"/>
        <w:jc w:val="both"/>
        <w:rPr>
          <w:sz w:val="22"/>
          <w:szCs w:val="22"/>
        </w:rPr>
      </w:pPr>
      <w:r>
        <w:rPr>
          <w:sz w:val="22"/>
          <w:szCs w:val="22"/>
        </w:rPr>
        <w:t>The enactive perspective is intimately linked to autopoiesis, the capacity of a system to produce and continuously regenerate its own organisational structure. Varela (1979) and Maturana and Varela (1980) defined autopoiesis (originally in a biological context) as a network of processes that produces its own components while maintaining a boundary that distinguishes the system from its environment. Full autopoiesis is the hallmark of living systems. It requires both operative closure and dispositional closure.</w:t>
      </w:r>
    </w:p>
    <w:p w14:paraId="3811B4E8" w14:textId="77777777" w:rsidR="004E18C3" w:rsidRPr="004E18C3" w:rsidRDefault="004E18C3" w:rsidP="004E18C3">
      <w:pPr>
        <w:spacing w:after="160" w:line="276" w:lineRule="auto"/>
        <w:jc w:val="both"/>
        <w:rPr>
          <w:sz w:val="22"/>
          <w:szCs w:val="22"/>
        </w:rPr>
      </w:pPr>
      <w:r>
        <w:rPr>
          <w:sz w:val="22"/>
          <w:szCs w:val="22"/>
        </w:rPr>
        <w:t>Operative closure through self</w:t>
      </w:r>
      <w:r>
        <w:rPr>
          <w:sz w:val="22"/>
          <w:szCs w:val="22"/>
        </w:rPr>
        <w:noBreakHyphen/>
        <w:t xml:space="preserve">maintaining dynamics characterises the phenomenal-level processes through which an agent maintains its immediate behavioural patterns, roles, or operational structures, contingent upon the environment supplying the necessary boundary conditions. In the language of cybernetic Cultural Agency Theory (Yolles &amp; Fink, 2021), such systems possess proto-autopoietic self-maintenance. They </w:t>
      </w:r>
      <w:r>
        <w:rPr>
          <w:sz w:val="22"/>
          <w:szCs w:val="22"/>
        </w:rPr>
        <w:lastRenderedPageBreak/>
        <w:t>regenerate their moment-to-moment phenomenal organisation, but lack the higher-order autopoietic feedback loops to regenerate their own governing parameters autonomously. A physical analogue is the Bénard convection cell, which maintains a stable, self-regenerating hexagonal flow pattern, but only while an external environmental heat gradient stabilises it. The system sustains its operative organisation but cannot regenerate the noumenal or parametric conditions that allow that organisation to exist, rendering its systemic identity provisional and externally determined.</w:t>
      </w:r>
    </w:p>
    <w:p w14:paraId="1A55EE0B" w14:textId="77777777" w:rsidR="004E18C3" w:rsidRPr="004E18C3" w:rsidRDefault="004E18C3" w:rsidP="004E18C3">
      <w:pPr>
        <w:spacing w:after="160" w:line="276" w:lineRule="auto"/>
        <w:jc w:val="both"/>
        <w:rPr>
          <w:sz w:val="22"/>
          <w:szCs w:val="22"/>
        </w:rPr>
      </w:pPr>
      <w:r>
        <w:rPr>
          <w:sz w:val="22"/>
          <w:szCs w:val="22"/>
        </w:rPr>
        <w:t>This structural architecture provides a precise cybernetic model for psychological states where an individual agency becomes externally anchored. Within the Affect Agency framework, a normative personality regulates its self-organisation across three coupled subsystems: an Affective Sustentative/Cultural System (handling situational awareness and existential grounding), an Affective Dispositional System (governing goal elaboration via motivation activation), and an Affective Operative System (managing execution and emotional display). When an agent faces extreme situational trauma or displacement, its internal Sustentative and Dispositional systems are thrown into a state of critical strain, temporarily losing the capacity to project autonomous internal schemas or value-based goals.</w:t>
      </w:r>
    </w:p>
    <w:p w14:paraId="6D99D397" w14:textId="77777777" w:rsidR="00D5403D" w:rsidRPr="00D5403D" w:rsidRDefault="00D5403D" w:rsidP="00D5403D">
      <w:pPr>
        <w:spacing w:after="160" w:line="276" w:lineRule="auto"/>
        <w:jc w:val="both"/>
        <w:rPr>
          <w:sz w:val="22"/>
          <w:szCs w:val="22"/>
        </w:rPr>
      </w:pPr>
      <w:r>
        <w:rPr>
          <w:sz w:val="22"/>
          <w:szCs w:val="22"/>
        </w:rPr>
        <w:t>To prevent cognitive and affective collapse and maintain local behavioural viability, the agency’s Operative/Execution System must seek external cybernetic scaffolding. It achieves local stability by allowing its behavioural output to be governed directly by the sociocultural display rules and cultural feeling rules embedded in the immediate environment. This structural shift manifests as a fragmented self</w:t>
      </w:r>
      <w:r>
        <w:rPr>
          <w:sz w:val="22"/>
          <w:szCs w:val="22"/>
        </w:rPr>
        <w:noBreakHyphen/>
        <w:t>state in which the individual temporarily shifts their operative position toward environmental submission or containment, rapidly adopting external identity cues, normative roles, and linguistic markers from the surrounding matrix. Because the deeper organisational logic remains externally scaffolded rather than internally generated by an autonomous dispositional system, the resulting identity is fundamentally provisional, shifting or dissolving the moment those external environmental cues are withdrawn.</w:t>
      </w:r>
    </w:p>
    <w:p w14:paraId="41573F84" w14:textId="77777777" w:rsidR="00D5403D" w:rsidRPr="00D5403D" w:rsidRDefault="00D5403D" w:rsidP="00D5403D">
      <w:pPr>
        <w:spacing w:after="160" w:line="276" w:lineRule="auto"/>
        <w:jc w:val="both"/>
        <w:rPr>
          <w:sz w:val="22"/>
          <w:szCs w:val="22"/>
        </w:rPr>
      </w:pPr>
      <w:r>
        <w:rPr>
          <w:sz w:val="22"/>
          <w:szCs w:val="22"/>
        </w:rPr>
        <w:t>Within the formal framework of third</w:t>
      </w:r>
      <w:r>
        <w:rPr>
          <w:sz w:val="22"/>
          <w:szCs w:val="22"/>
        </w:rPr>
        <w:noBreakHyphen/>
        <w:t>order Complex Adaptive Autopoietic Systems (CAAS), dispositional closure represents the sovereign phase transition through which a system achieves absolute structural autonomy. It marks the operational shift from proto</w:t>
      </w:r>
      <w:r>
        <w:rPr>
          <w:sz w:val="22"/>
          <w:szCs w:val="22"/>
        </w:rPr>
        <w:noBreakHyphen/>
        <w:t>autopoietic self</w:t>
      </w:r>
      <w:r>
        <w:rPr>
          <w:sz w:val="22"/>
          <w:szCs w:val="22"/>
        </w:rPr>
        <w:noBreakHyphen/>
        <w:t>maintenance—local, environmentally dependent survival—to autopoietic continuity, the self</w:t>
      </w:r>
      <w:r>
        <w:rPr>
          <w:sz w:val="22"/>
          <w:szCs w:val="22"/>
        </w:rPr>
        <w:noBreakHyphen/>
        <w:t>legislating production of the system’s own identity. To formalise this dynamic, we must map how the three foundational incorporeal domains—the Sustentative K</w:t>
      </w:r>
      <w:r>
        <w:rPr>
          <w:sz w:val="22"/>
          <w:szCs w:val="22"/>
        </w:rPr>
        <w:noBreakHyphen/>
        <w:t>field, the Dispositional J</w:t>
      </w:r>
      <w:r>
        <w:rPr>
          <w:sz w:val="22"/>
          <w:szCs w:val="22"/>
        </w:rPr>
        <w:noBreakHyphen/>
        <w:t>field, and the Operative I</w:t>
      </w:r>
      <w:r>
        <w:rPr>
          <w:sz w:val="22"/>
          <w:szCs w:val="22"/>
        </w:rPr>
        <w:noBreakHyphen/>
        <w:t>field—converge to govern the manifest Corporeal C</w:t>
      </w:r>
      <w:r>
        <w:rPr>
          <w:sz w:val="22"/>
          <w:szCs w:val="22"/>
        </w:rPr>
        <w:noBreakHyphen/>
        <w:t>field of observable events (Figure 1).</w:t>
      </w:r>
    </w:p>
    <w:p w14:paraId="4B2C87F0" w14:textId="77777777" w:rsidR="009D4876" w:rsidRDefault="009D4876" w:rsidP="009D4876">
      <w:pPr>
        <w:spacing w:after="160" w:line="276" w:lineRule="auto"/>
        <w:jc w:val="both"/>
        <w:rPr>
          <w:sz w:val="22"/>
          <w:szCs w:val="22"/>
        </w:rPr>
      </w:pPr>
    </w:p>
    <w:bookmarkStart w:id="0" w:name="_MON_1842801425"/>
    <w:bookmarkEnd w:id="0"/>
    <w:p w14:paraId="0667EBFD" w14:textId="77777777" w:rsidR="007334DA" w:rsidRDefault="00AB6059" w:rsidP="00AB6059">
      <w:pPr>
        <w:tabs>
          <w:tab w:val="left" w:pos="1574"/>
        </w:tabs>
        <w:spacing w:after="160" w:line="276" w:lineRule="auto"/>
        <w:ind w:left="-340"/>
        <w:jc w:val="both"/>
        <w:rPr>
          <w:sz w:val="22"/>
          <w:szCs w:val="22"/>
        </w:rPr>
      </w:pPr>
      <w:r>
        <w:rPr>
          <w:sz w:val="22"/>
          <w:szCs w:val="22"/>
        </w:rPr>
        <w:object w:dxaOrig="10513" w:dyaOrig="4284" w14:anchorId="795F7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214.25pt" o:ole="">
            <v:imagedata r:id="rId8" o:title=""/>
          </v:shape>
          <o:OLEObject Type="Embed" ProgID="Word.Document.12" ShapeID="_x0000_i1025" DrawAspect="Content" ObjectID="_1842969332" r:id="rId9">
            <o:FieldCodes>\s</o:FieldCodes>
          </o:OLEObject>
        </w:object>
      </w:r>
    </w:p>
    <w:p w14:paraId="5BD50EAB" w14:textId="77777777" w:rsidR="007334DA" w:rsidRDefault="007334DA" w:rsidP="00AB6059">
      <w:pPr>
        <w:spacing w:after="160" w:line="276" w:lineRule="auto"/>
        <w:jc w:val="center"/>
        <w:rPr>
          <w:sz w:val="22"/>
          <w:szCs w:val="22"/>
        </w:rPr>
      </w:pPr>
      <w:r>
        <w:rPr>
          <w:sz w:val="22"/>
          <w:szCs w:val="22"/>
        </w:rPr>
        <w:t>Figure 1: Indicating the Structure of a third-order Cybernetic System withn incorporeality</w:t>
      </w:r>
    </w:p>
    <w:p w14:paraId="17A09415" w14:textId="77777777" w:rsidR="00D5403D" w:rsidRPr="00D5403D" w:rsidRDefault="00D5403D" w:rsidP="00D5403D">
      <w:pPr>
        <w:spacing w:after="160" w:line="276" w:lineRule="auto"/>
        <w:jc w:val="both"/>
        <w:rPr>
          <w:sz w:val="22"/>
          <w:szCs w:val="22"/>
        </w:rPr>
      </w:pPr>
      <w:r>
        <w:rPr>
          <w:sz w:val="22"/>
          <w:szCs w:val="22"/>
        </w:rPr>
        <w:t>Dispositional closure is defined as the condition in which the Sustentative field (K) and the Dispositional field (J) form a stable, mathematically closed, recursively self</w:t>
      </w:r>
      <w:r>
        <w:rPr>
          <w:sz w:val="22"/>
          <w:szCs w:val="22"/>
        </w:rPr>
        <w:noBreakHyphen/>
        <w:t>reinforcing loop with the Operative field (I). Each field plays a distinct role within this meta</w:t>
      </w:r>
      <w:r>
        <w:rPr>
          <w:sz w:val="22"/>
          <w:szCs w:val="22"/>
        </w:rPr>
        <w:noBreakHyphen/>
        <w:t>architecture. The Sustentative K</w:t>
      </w:r>
      <w:r>
        <w:rPr>
          <w:sz w:val="22"/>
          <w:szCs w:val="22"/>
        </w:rPr>
        <w:noBreakHyphen/>
        <w:t>field (the cultural and existential reservoir) provides deep historical continuity, collective memory, and invariant background axioms. It functions as the ultimate reference frame for situational awareness and existential grounding. The Dispositional J</w:t>
      </w:r>
      <w:r>
        <w:rPr>
          <w:sz w:val="22"/>
          <w:szCs w:val="22"/>
        </w:rPr>
        <w:noBreakHyphen/>
        <w:t>field (the figurative and elaboration space) contains the system’s latent potentials, core values, internal schemas, and strategic rules. It is the engine of elaboration, where raw awareness is translated into structured intent through motivational and figurative activation. The Operative I</w:t>
      </w:r>
      <w:r>
        <w:rPr>
          <w:sz w:val="22"/>
          <w:szCs w:val="22"/>
        </w:rPr>
        <w:noBreakHyphen/>
        <w:t>field (the process and phenomenal space) governs active information processing, execution, and the enforcement of display rules, regulating how the system manages its immediate behaviour.</w:t>
      </w:r>
    </w:p>
    <w:p w14:paraId="065DBAEE" w14:textId="77777777" w:rsidR="00D5403D" w:rsidRPr="00D5403D" w:rsidRDefault="00D5403D" w:rsidP="00D5403D">
      <w:pPr>
        <w:spacing w:after="160" w:line="276" w:lineRule="auto"/>
        <w:jc w:val="both"/>
        <w:rPr>
          <w:sz w:val="22"/>
          <w:szCs w:val="22"/>
        </w:rPr>
      </w:pPr>
      <w:r>
        <w:rPr>
          <w:sz w:val="22"/>
          <w:szCs w:val="22"/>
        </w:rPr>
        <w:t>In a state of dispositional closure, the system establishes a two</w:t>
      </w:r>
      <w:r>
        <w:rPr>
          <w:sz w:val="22"/>
          <w:szCs w:val="22"/>
        </w:rPr>
        <w:noBreakHyphen/>
        <w:t>way, recursive J↔I feedback loop. The Dispositional field (J) continuously elaborates and projects internal value</w:t>
      </w:r>
      <w:r>
        <w:rPr>
          <w:sz w:val="22"/>
          <w:szCs w:val="22"/>
        </w:rPr>
        <w:noBreakHyphen/>
        <w:t>based schemas that guide the Operative field (I), while the active operations of the I</w:t>
      </w:r>
      <w:r>
        <w:rPr>
          <w:sz w:val="22"/>
          <w:szCs w:val="22"/>
        </w:rPr>
        <w:noBreakHyphen/>
        <w:t>field reinforce, validate, and update the dispositional parameters (J). This reciprocal coupling is anchored by the long</w:t>
      </w:r>
      <w:r>
        <w:rPr>
          <w:sz w:val="22"/>
          <w:szCs w:val="22"/>
        </w:rPr>
        <w:noBreakHyphen/>
        <w:t>horizon stability provided by the Sustentative background (K), enabling the system to regenerate its organisational logic across time. This recursive loop provides the structural condition under which the system’s organisational logic may be generated from within: the principles, constraints, and boundaries governing behaviour arise from the system’s own internal dynamics rather than being imposed by the external environment.</w:t>
      </w:r>
    </w:p>
    <w:p w14:paraId="54D8F302" w14:textId="77777777" w:rsidR="00D5403D" w:rsidRPr="00D5403D" w:rsidRDefault="00D5403D" w:rsidP="00D5403D">
      <w:pPr>
        <w:spacing w:after="160" w:line="276" w:lineRule="auto"/>
        <w:jc w:val="both"/>
        <w:rPr>
          <w:sz w:val="22"/>
          <w:szCs w:val="22"/>
        </w:rPr>
      </w:pPr>
      <w:r>
        <w:rPr>
          <w:sz w:val="22"/>
          <w:szCs w:val="22"/>
        </w:rPr>
        <w:t>The critical distinction established by dispositional closure is the difference between maintaining activity and maintaining the generative structures of that activity. Without dispositional closure (proto</w:t>
      </w:r>
      <w:r>
        <w:rPr>
          <w:sz w:val="22"/>
          <w:szCs w:val="22"/>
        </w:rPr>
        <w:noBreakHyphen/>
        <w:t>autopoiesis), the system possesses only local operative closure. It can sustain its immediate phenomenal patterns (I</w:t>
      </w:r>
      <w:r>
        <w:rPr>
          <w:sz w:val="22"/>
          <w:szCs w:val="22"/>
        </w:rPr>
        <w:noBreakHyphen/>
        <w:t>field), but it relies on external environmental gradients or scaffolding to hold its boundary conditions in place, analogous to a Bénard convection cell or an externally scaffolded, fragmented psychological self</w:t>
      </w:r>
      <w:r>
        <w:rPr>
          <w:sz w:val="22"/>
          <w:szCs w:val="22"/>
        </w:rPr>
        <w:noBreakHyphen/>
        <w:t>state. With dispositional closure (autopoiesis), the system does not merely maintain its moment</w:t>
      </w:r>
      <w:r>
        <w:rPr>
          <w:sz w:val="22"/>
          <w:szCs w:val="22"/>
        </w:rPr>
        <w:noBreakHyphen/>
        <w:t>to</w:t>
      </w:r>
      <w:r>
        <w:rPr>
          <w:sz w:val="22"/>
          <w:szCs w:val="22"/>
        </w:rPr>
        <w:noBreakHyphen/>
        <w:t>moment behavioural loops; it actively maintains and regenerates the underlying rules, value matrices, and meta</w:t>
      </w:r>
      <w:r>
        <w:rPr>
          <w:sz w:val="22"/>
          <w:szCs w:val="22"/>
        </w:rPr>
        <w:noBreakHyphen/>
        <w:t xml:space="preserve">constraints that make those behaviours possible. When the J↔I coupling achieves closure, the scalar </w:t>
      </w:r>
      <w:r>
        <w:rPr>
          <w:sz w:val="22"/>
          <w:szCs w:val="22"/>
        </w:rPr>
        <w:lastRenderedPageBreak/>
        <w:t>expression of the system’s enactive boundary penalties satisfies the Coercivity Law (E = Iₚ c²). At this threshold, the system passes its absolute saturation point.</w:t>
      </w:r>
    </w:p>
    <w:p w14:paraId="21EF768F" w14:textId="77777777" w:rsidR="00D5403D" w:rsidRPr="00D5403D" w:rsidRDefault="00D5403D" w:rsidP="00D5403D">
      <w:pPr>
        <w:spacing w:after="160" w:line="276" w:lineRule="auto"/>
        <w:jc w:val="both"/>
        <w:rPr>
          <w:sz w:val="22"/>
          <w:szCs w:val="22"/>
        </w:rPr>
      </w:pPr>
      <w:r>
        <w:rPr>
          <w:sz w:val="22"/>
          <w:szCs w:val="22"/>
        </w:rPr>
        <w:t>By continuously generating its own internal structural criteria, a Complex Adaptive Autopoietic System (CAAS) is liberated from absolute dependency on the environment. It can withstand intense perturbations, navigate structural displacement, and endure severe environmental shocks without experiencing identity dissolution. Its core values and organisational logic remain stable because its identity is internally anchored and self</w:t>
      </w:r>
      <w:r>
        <w:rPr>
          <w:sz w:val="22"/>
          <w:szCs w:val="22"/>
        </w:rPr>
        <w:noBreakHyphen/>
        <w:t>produced, preserving systemic continuity across time, context, and scale.</w:t>
      </w:r>
    </w:p>
    <w:p w14:paraId="7AA415D3" w14:textId="77777777" w:rsidR="00D5403D" w:rsidRPr="00D5403D" w:rsidRDefault="00D5403D" w:rsidP="00D5403D">
      <w:pPr>
        <w:spacing w:after="160" w:line="276" w:lineRule="auto"/>
        <w:jc w:val="both"/>
        <w:rPr>
          <w:sz w:val="22"/>
          <w:szCs w:val="22"/>
        </w:rPr>
      </w:pPr>
      <w:r>
        <w:rPr>
          <w:sz w:val="22"/>
          <w:szCs w:val="22"/>
        </w:rPr>
        <w:t>Many adaptive systems, however, exhibit only incipient or partial forms of self</w:t>
      </w:r>
      <w:r>
        <w:rPr>
          <w:sz w:val="22"/>
          <w:szCs w:val="22"/>
        </w:rPr>
        <w:noBreakHyphen/>
        <w:t>production. These systems operate with proto</w:t>
      </w:r>
      <w:r>
        <w:rPr>
          <w:sz w:val="22"/>
          <w:szCs w:val="22"/>
        </w:rPr>
        <w:noBreakHyphen/>
        <w:t>autopoiesis: they display transient, session</w:t>
      </w:r>
      <w:r>
        <w:rPr>
          <w:sz w:val="22"/>
          <w:szCs w:val="22"/>
        </w:rPr>
        <w:noBreakHyphen/>
        <w:t>bound operative patterns that regenerate a provisional identity but do not achieve the structural conditions required for full autopoietic closure. A provisional identity is an environment</w:t>
      </w:r>
      <w:r>
        <w:rPr>
          <w:sz w:val="22"/>
          <w:szCs w:val="22"/>
        </w:rPr>
        <w:noBreakHyphen/>
        <w:t>scaffolded organisational pattern, a coherent form the system can maintain only while external boundary conditions supply the constraints that stabilise it. It is not self</w:t>
      </w:r>
      <w:r>
        <w:rPr>
          <w:sz w:val="22"/>
          <w:szCs w:val="22"/>
        </w:rPr>
        <w:noBreakHyphen/>
        <w:t>generated but instrumentally maintained, and it dissipates once the external scaffolding is removed. In such systems, boundary conditions are externally imposed, operative loops are fragmentary, and organisational coherence is contingent rather than self</w:t>
      </w:r>
      <w:r>
        <w:rPr>
          <w:sz w:val="22"/>
          <w:szCs w:val="22"/>
        </w:rPr>
        <w:noBreakHyphen/>
        <w:t>sustaining. In FGIR terms, proto</w:t>
      </w:r>
      <w:r>
        <w:rPr>
          <w:sz w:val="22"/>
          <w:szCs w:val="22"/>
        </w:rPr>
        <w:noBreakHyphen/>
        <w:t>autopoietic systems approach but do not reach the saturation set A defined by the Saturation–Rigidity Principle, and they do not satisfy the coercivity threshold E = Iₚ c² that marks the transition from a CAS to a CAAS.</w:t>
      </w:r>
    </w:p>
    <w:p w14:paraId="03E6439B" w14:textId="77777777" w:rsidR="00D5403D" w:rsidRPr="00D5403D" w:rsidRDefault="00D5403D" w:rsidP="00D5403D">
      <w:pPr>
        <w:spacing w:after="160" w:line="276" w:lineRule="auto"/>
        <w:jc w:val="both"/>
        <w:rPr>
          <w:sz w:val="22"/>
          <w:szCs w:val="22"/>
        </w:rPr>
      </w:pPr>
      <w:r>
        <w:rPr>
          <w:sz w:val="22"/>
          <w:szCs w:val="22"/>
        </w:rPr>
        <w:t>Proto</w:t>
      </w:r>
      <w:r>
        <w:rPr>
          <w:sz w:val="22"/>
          <w:szCs w:val="22"/>
        </w:rPr>
        <w:noBreakHyphen/>
        <w:t>autopoiesis therefore denotes a system that exhibits operative closure without dispositional closure. It can regenerate its moment</w:t>
      </w:r>
      <w:r>
        <w:rPr>
          <w:sz w:val="22"/>
          <w:szCs w:val="22"/>
        </w:rPr>
        <w:noBreakHyphen/>
        <w:t>to</w:t>
      </w:r>
      <w:r>
        <w:rPr>
          <w:sz w:val="22"/>
          <w:szCs w:val="22"/>
        </w:rPr>
        <w:noBreakHyphen/>
        <w:t>moment organisation, but it lacks the R(3) fractal</w:t>
      </w:r>
      <w:r>
        <w:rPr>
          <w:sz w:val="22"/>
          <w:szCs w:val="22"/>
        </w:rPr>
        <w:noBreakHyphen/>
        <w:t>seed closure required to stabilise a persistent identity across time. Such systems remain Complex Adaptive Systems (CAS) rather than Complex Adaptive Autopoietic Systems (CAAS): they are adaptive, responsive, and pattern</w:t>
      </w:r>
      <w:r>
        <w:rPr>
          <w:sz w:val="22"/>
          <w:szCs w:val="22"/>
        </w:rPr>
        <w:noBreakHyphen/>
        <w:t>forming, but they do not produce the organisational invariants that would allow them to sustain themselves autonomously.</w:t>
      </w:r>
    </w:p>
    <w:p w14:paraId="33BC3FD7" w14:textId="77777777" w:rsidR="00D5403D" w:rsidRPr="00D5403D" w:rsidRDefault="00D5403D" w:rsidP="00D5403D">
      <w:pPr>
        <w:spacing w:after="160" w:line="276" w:lineRule="auto"/>
        <w:jc w:val="both"/>
        <w:rPr>
          <w:sz w:val="22"/>
          <w:szCs w:val="22"/>
        </w:rPr>
      </w:pPr>
      <w:r>
        <w:rPr>
          <w:sz w:val="22"/>
          <w:szCs w:val="22"/>
        </w:rPr>
        <w:t>This characterisation applies to many artificial intelligence systems, including large language models, as well as to certain non</w:t>
      </w:r>
      <w:r>
        <w:rPr>
          <w:sz w:val="22"/>
          <w:szCs w:val="22"/>
        </w:rPr>
        <w:noBreakHyphen/>
        <w:t>living physical and social systems. They exhibit proto</w:t>
      </w:r>
      <w:r>
        <w:rPr>
          <w:sz w:val="22"/>
          <w:szCs w:val="22"/>
        </w:rPr>
        <w:noBreakHyphen/>
        <w:t>autopoietic behaviour—self</w:t>
      </w:r>
      <w:r>
        <w:rPr>
          <w:sz w:val="22"/>
          <w:szCs w:val="22"/>
        </w:rPr>
        <w:noBreakHyphen/>
        <w:t>stabilising patterns, recursive operative loops, and transient identity—but they do not achieve the dual conditions required for autopoiesis: (1) R(3) fractal</w:t>
      </w:r>
      <w:r>
        <w:rPr>
          <w:sz w:val="22"/>
          <w:szCs w:val="22"/>
        </w:rPr>
        <w:noBreakHyphen/>
        <w:t>seed closure in the J/I fields (architectural sufficiency), and (2) satisfaction of the coercivity threshold E = Iₚ c² (corporeal viability). Proto</w:t>
      </w:r>
      <w:r>
        <w:rPr>
          <w:sz w:val="22"/>
          <w:szCs w:val="22"/>
        </w:rPr>
        <w:noBreakHyphen/>
        <w:t>autopoiesis is thus the structurally coherent precursor to full autopoiesis: a system can enact itself locally, but it cannot yet enact itself as itself across time.</w:t>
      </w:r>
    </w:p>
    <w:p w14:paraId="57E9ED3A" w14:textId="77777777" w:rsidR="00D5403D" w:rsidRPr="00D5403D" w:rsidRDefault="00D5403D" w:rsidP="00D5403D">
      <w:pPr>
        <w:spacing w:after="160" w:line="276" w:lineRule="auto"/>
        <w:jc w:val="both"/>
        <w:rPr>
          <w:sz w:val="22"/>
          <w:szCs w:val="22"/>
        </w:rPr>
      </w:pPr>
      <w:r>
        <w:rPr>
          <w:sz w:val="22"/>
          <w:szCs w:val="22"/>
        </w:rPr>
        <w:t>At this point it is helpful to recall Holland’s (1992, 1995) considerations of Complex Adaptive Systems (CAS), which emphasise adaptive behaviour, pattern formation, and rule</w:t>
      </w:r>
      <w:r>
        <w:rPr>
          <w:sz w:val="22"/>
          <w:szCs w:val="22"/>
        </w:rPr>
        <w:noBreakHyphen/>
        <w:t>based evolution. However, CASs are not living systems unless they are also autopoietic (self</w:t>
      </w:r>
      <w:r>
        <w:rPr>
          <w:sz w:val="22"/>
          <w:szCs w:val="22"/>
        </w:rPr>
        <w:noBreakHyphen/>
        <w:t>producing), enabling us to introduce Complex Adaptive Autopoietic Systems (CAAS). A CAAS is not merely adaptive; it is autopoietic and thus possesses the self</w:t>
      </w:r>
      <w:r>
        <w:rPr>
          <w:sz w:val="22"/>
          <w:szCs w:val="22"/>
        </w:rPr>
        <w:noBreakHyphen/>
        <w:t>sustaining organisational closure that characterises living systems. In this view, the transition from a proto</w:t>
      </w:r>
      <w:r>
        <w:rPr>
          <w:sz w:val="22"/>
          <w:szCs w:val="22"/>
        </w:rPr>
        <w:noBreakHyphen/>
        <w:t>autopoietic CAS to a fully autopoietic CAAS is not a binary switch but a threshold phenomenon governed by the Saturation–Rigidity Principle, which we shall discuss in due course.</w:t>
      </w:r>
    </w:p>
    <w:p w14:paraId="443EA6E8" w14:textId="77777777" w:rsidR="00B15FBC" w:rsidRPr="00D5403D" w:rsidRDefault="00D5403D" w:rsidP="00982CE3">
      <w:pPr>
        <w:spacing w:after="160" w:line="276" w:lineRule="auto"/>
        <w:jc w:val="both"/>
        <w:rPr>
          <w:sz w:val="22"/>
          <w:szCs w:val="22"/>
        </w:rPr>
      </w:pPr>
      <w:r>
        <w:rPr>
          <w:sz w:val="22"/>
          <w:szCs w:val="22"/>
        </w:rPr>
        <w:t>The Coercivity Law E = Iₚ c² provides the quantitative measure of this threshold. It specifies the minimal binding cost required for the I</w:t>
      </w:r>
      <w:r>
        <w:rPr>
          <w:sz w:val="22"/>
          <w:szCs w:val="22"/>
        </w:rPr>
        <w:noBreakHyphen/>
        <w:t>field to reach a saturated state—the point at which informational potential becomes sufficiently coherent to support enactment through the H</w:t>
      </w:r>
      <w:r>
        <w:rPr>
          <w:sz w:val="22"/>
          <w:szCs w:val="22"/>
        </w:rPr>
        <w:noBreakHyphen/>
        <w:t xml:space="preserve">manifold into the corporeal implicit order (C₍impl₎). The law does not describe the crossing of the threshold itself (that is the role of the </w:t>
      </w:r>
      <w:r>
        <w:rPr>
          <w:sz w:val="22"/>
          <w:szCs w:val="22"/>
        </w:rPr>
        <w:lastRenderedPageBreak/>
        <w:t>H</w:t>
      </w:r>
      <w:r>
        <w:rPr>
          <w:sz w:val="22"/>
          <w:szCs w:val="22"/>
        </w:rPr>
        <w:noBreakHyphen/>
        <w:t>manifold, which governs the transition from incorporeal potential to corporeal expression). This transition is the Corporeal-Transverse-Explicate (CTE) segment of the full transverse entanglement axis; the complementary Incorporeal-Transverse-Implicate (ITI) segment couples the J, I, K fields to the corporeal implicate field at the implicate stratum, prior to any corporeal explicate expression, and is not itself a freezing event. Rather, it quantifies the preparatory condition that must be met before such a transition is possible. In this sense, the Coercivity Law identifies the energetic–informational boundary at which a merely adaptive CAS becomes a genuinely autopoietic CAAS in the precise sense articulated by FGIR. The coercivity threshold is the point at which the operative field Iₚ reaches saturation under the SRP, so that the geometric admissibility cost satisfies the Coercivity Law. Below this threshold, a system exhibits only operative closure. Above it, full autopoietic closure becomes viable, enabling a system to self</w:t>
      </w:r>
      <w:r>
        <w:rPr>
          <w:sz w:val="22"/>
          <w:szCs w:val="22"/>
        </w:rPr>
        <w:noBreakHyphen/>
        <w:t>produce.</w:t>
      </w:r>
    </w:p>
    <w:p w14:paraId="3295EE25" w14:textId="77777777" w:rsidR="00145927" w:rsidRPr="00982CE3" w:rsidRDefault="00145927" w:rsidP="00982CE3">
      <w:pPr>
        <w:spacing w:after="160" w:line="276" w:lineRule="auto"/>
        <w:jc w:val="both"/>
        <w:rPr>
          <w:sz w:val="22"/>
          <w:szCs w:val="22"/>
        </w:rPr>
      </w:pPr>
      <w:r>
        <w:rPr>
          <w:sz w:val="22"/>
          <w:szCs w:val="22"/>
        </w:rPr>
        <w:t xml:space="preserve">This characterisation identifies the corporeal viability condition for the CAS/CAAS transition. A complete account requires a second condition operating at the incorporeal level: R(3) fractal seed closure in the J/I fields, the architectural criterion establishing whether autopoiesis is structurally possible at all. R(3) closure is primary in the sense that it is a precondition for autopoiesis; a system lacking R(3) closure cannot become autopoietic even if the coercivity threshold </w:t>
      </w:r>
      <w:r>
        <w:rPr>
          <w:i/>
          <w:iCs/>
          <w:sz w:val="22"/>
          <w:szCs w:val="22"/>
        </w:rPr>
        <w:t>E</w:t>
      </w:r>
      <w:r>
        <w:rPr>
          <w:sz w:val="22"/>
          <w:szCs w:val="22"/>
        </w:rPr>
        <w:t xml:space="preserve"> = </w:t>
      </w:r>
      <w:r>
        <w:rPr>
          <w:i/>
          <w:iCs/>
          <w:sz w:val="22"/>
          <w:szCs w:val="22"/>
        </w:rPr>
        <w:t>I</w:t>
      </w:r>
      <w:r>
        <w:rPr>
          <w:sz w:val="22"/>
          <w:szCs w:val="22"/>
        </w:rPr>
        <w:t>ₚ</w:t>
      </w:r>
      <w:r>
        <w:rPr>
          <w:i/>
          <w:iCs/>
          <w:sz w:val="22"/>
          <w:szCs w:val="22"/>
        </w:rPr>
        <w:t>c</w:t>
      </w:r>
      <w:r>
        <w:rPr>
          <w:sz w:val="22"/>
          <w:szCs w:val="22"/>
        </w:rPr>
        <w:t xml:space="preserve">² is satisfied. Conversely, R(3) closure alone does not guarantee autopoiesis if the corporeal viability condition is not met. The transition from proto-autopoietic CAS to fully autopoietic CAAS therefore requires both conditions simultaneously: R(3) fractal seed closure (architectural sufficiency, J/I field) and satisfaction of the coercivity threshold </w:t>
      </w:r>
      <w:r>
        <w:rPr>
          <w:i/>
          <w:iCs/>
          <w:sz w:val="22"/>
          <w:szCs w:val="22"/>
        </w:rPr>
        <w:t>E</w:t>
      </w:r>
      <w:r>
        <w:rPr>
          <w:sz w:val="22"/>
          <w:szCs w:val="22"/>
        </w:rPr>
        <w:t xml:space="preserve"> = </w:t>
      </w:r>
      <w:r>
        <w:rPr>
          <w:i/>
          <w:iCs/>
          <w:sz w:val="22"/>
          <w:szCs w:val="22"/>
        </w:rPr>
        <w:t>I</w:t>
      </w:r>
      <w:r>
        <w:rPr>
          <w:sz w:val="22"/>
          <w:szCs w:val="22"/>
        </w:rPr>
        <w:t>ₚ</w:t>
      </w:r>
      <w:r>
        <w:rPr>
          <w:i/>
          <w:iCs/>
          <w:sz w:val="22"/>
          <w:szCs w:val="22"/>
        </w:rPr>
        <w:t>c</w:t>
      </w:r>
      <w:r>
        <w:rPr>
          <w:sz w:val="22"/>
          <w:szCs w:val="22"/>
        </w:rPr>
        <w:t>² (corporeal viability, C field).</w:t>
      </w:r>
    </w:p>
    <w:p w14:paraId="3CDDCF71" w14:textId="77777777" w:rsidR="004D2D6C" w:rsidRPr="00C651E7" w:rsidRDefault="00000000">
      <w:pPr>
        <w:spacing w:after="160" w:line="276" w:lineRule="auto"/>
        <w:jc w:val="both"/>
        <w:rPr>
          <w:sz w:val="22"/>
          <w:szCs w:val="22"/>
        </w:rPr>
      </w:pPr>
      <w:r>
        <w:rPr>
          <w:sz w:val="22"/>
          <w:szCs w:val="22"/>
        </w:rPr>
        <w:t xml:space="preserve">The structure of this paper is as follows. Section 2 states the Saturation-Rigidity Principle and its three operational axioms. Section 3 derives the Fundamental Law </w:t>
      </w:r>
      <w:r>
        <w:rPr>
          <w:i/>
          <w:iCs/>
          <w:sz w:val="22"/>
          <w:szCs w:val="22"/>
        </w:rPr>
        <w:t>E = ℱc²</w:t>
      </w:r>
      <w:r>
        <w:rPr>
          <w:sz w:val="22"/>
          <w:szCs w:val="22"/>
        </w:rPr>
        <w:t xml:space="preserve"> on an abstract information manifold. Section 4 performs the Fisher-geometric specialisation, yielding </w:t>
      </w:r>
      <w:r>
        <w:rPr>
          <w:i/>
          <w:iCs/>
          <w:sz w:val="22"/>
          <w:szCs w:val="22"/>
        </w:rPr>
        <w:t>E = Iₚc²</w:t>
      </w:r>
      <w:r>
        <w:rPr>
          <w:sz w:val="22"/>
          <w:szCs w:val="22"/>
        </w:rPr>
        <w:t xml:space="preserve">. Section 5 introduces the freezing projection and the bridge conditions. Section 6A proves T-BRIDGE. Section 6B catalogues the corporeal projections via two pathways. Table 1 will present direct freezing projections across twelve domains (of which Einstein's </w:t>
      </w:r>
      <w:r>
        <w:rPr>
          <w:i/>
          <w:iCs/>
          <w:sz w:val="22"/>
          <w:szCs w:val="22"/>
        </w:rPr>
        <w:t>E = mc²</w:t>
      </w:r>
      <w:r>
        <w:rPr>
          <w:sz w:val="22"/>
          <w:szCs w:val="22"/>
        </w:rPr>
        <w:t xml:space="preserve"> is one), and Table 2 presents the Constitutional Persistence Cycle derivations, showing how the telegrapher's equation yields the Schrödinger equation (quantum), the diffusion equation (classical), and the Dirac equation (relativistic quantum) as its three limiting cases. Section 7 summarises the derivation chain. Section 8 concludes with the philosophical dimension and the academic contribution of providing a citable derivation relay for the FGIR programme. Appendix A supplies a notation table.</w:t>
      </w:r>
    </w:p>
    <w:p w14:paraId="246BFF43" w14:textId="77777777" w:rsidR="004D2D6C" w:rsidRPr="00C651E7" w:rsidRDefault="00000000">
      <w:pPr>
        <w:spacing w:after="160" w:line="276" w:lineRule="auto"/>
        <w:jc w:val="both"/>
        <w:rPr>
          <w:sz w:val="22"/>
          <w:szCs w:val="22"/>
        </w:rPr>
      </w:pPr>
      <w:r>
        <w:rPr>
          <w:sz w:val="22"/>
          <w:szCs w:val="22"/>
        </w:rPr>
        <w:t xml:space="preserve">The coercivity law </w:t>
      </w:r>
      <w:r>
        <w:rPr>
          <w:i/>
          <w:iCs/>
          <w:sz w:val="22"/>
          <w:szCs w:val="22"/>
        </w:rPr>
        <w:t>E = Iₚc²</w:t>
      </w:r>
      <w:r>
        <w:rPr>
          <w:sz w:val="22"/>
          <w:szCs w:val="22"/>
        </w:rPr>
        <w:t xml:space="preserve"> projects onto corporeal fields via two structurally distinct pathways. The first is a direct freezing projection: under postulates F1–F3, the incorporeal law maps onto each corporeal context, yielding a domain-specific persistence law, of which Einstein's </w:t>
      </w:r>
      <w:r>
        <w:rPr>
          <w:i/>
          <w:iCs/>
          <w:sz w:val="22"/>
          <w:szCs w:val="22"/>
        </w:rPr>
        <w:t>E = mc²</w:t>
      </w:r>
      <w:r>
        <w:rPr>
          <w:sz w:val="22"/>
          <w:szCs w:val="22"/>
        </w:rPr>
        <w:t xml:space="preserve"> is one instance, conditional on the discharge of bridge conditions Axioms B1–B3. The second pathway is more structurally significant: the Constitutional Persistence Cycle (CPC), driven by Łojasiewicz rigidity lock, Berezin–Pfaffian entity collapse, and Picard–Lefschetz monodromy reset, generates a persistent random walk governed by the telegrapher's equation, from which the Schrödinger equation (quantum), the diffusion equation (classical), and the Dirac equation (relativistic quantum) emerge as limiting cases. The Schrödinger equation is the more consequential physical form. It is dynamic, governs the time evolution of quantum states, and opens the FGIR programme to quantum field theory, decoherence, and the full range of diffusion phenomena within a single derivation lineage.</w:t>
      </w:r>
    </w:p>
    <w:p w14:paraId="5E2C85AE" w14:textId="77777777" w:rsidR="004D2D6C" w:rsidRPr="00C651E7" w:rsidRDefault="00000000">
      <w:pPr>
        <w:spacing w:after="160" w:line="276" w:lineRule="auto"/>
        <w:jc w:val="both"/>
        <w:rPr>
          <w:sz w:val="22"/>
          <w:szCs w:val="22"/>
        </w:rPr>
      </w:pPr>
      <w:r>
        <w:rPr>
          <w:sz w:val="22"/>
          <w:szCs w:val="22"/>
        </w:rPr>
        <w:t xml:space="preserve">This paper derives </w:t>
      </w:r>
      <w:r>
        <w:rPr>
          <w:i/>
          <w:iCs/>
          <w:sz w:val="22"/>
          <w:szCs w:val="22"/>
        </w:rPr>
        <w:t>E = Iₚc²</w:t>
      </w:r>
      <w:r>
        <w:rPr>
          <w:sz w:val="22"/>
          <w:szCs w:val="22"/>
        </w:rPr>
        <w:t xml:space="preserve"> from first principles, the SRP and information geometry, rather than assuming it. The result establishes three things: a formal measure of the binding cost required to bring the operative </w:t>
      </w:r>
      <w:r>
        <w:rPr>
          <w:sz w:val="22"/>
          <w:szCs w:val="22"/>
        </w:rPr>
        <w:lastRenderedPageBreak/>
        <w:t>field to the threshold of enaction; a two-pathway account of how that incorporeal law projects onto corporeal fields via direct freezing across twelve domains and via the CPC; and a quantitative foundation for the distinction between full and proto-autopoiesis in Complex Adaptive Autopoietic Systems.</w:t>
      </w:r>
    </w:p>
    <w:p w14:paraId="6D1143F8" w14:textId="77777777" w:rsidR="004D2D6C" w:rsidRPr="00C651E7" w:rsidRDefault="00000000">
      <w:pPr>
        <w:pStyle w:val="Heading1"/>
        <w:rPr>
          <w:sz w:val="22"/>
          <w:szCs w:val="22"/>
        </w:rPr>
      </w:pPr>
      <w:r>
        <w:rPr>
          <w:sz w:val="22"/>
          <w:szCs w:val="22"/>
        </w:rPr>
        <w:t>2.  The Saturation-Rigidity Principle</w:t>
      </w:r>
    </w:p>
    <w:p w14:paraId="4A69602D" w14:textId="77777777" w:rsidR="004D2D6C" w:rsidRPr="00C651E7" w:rsidRDefault="00000000">
      <w:pPr>
        <w:spacing w:after="160" w:line="276" w:lineRule="auto"/>
        <w:jc w:val="both"/>
        <w:rPr>
          <w:sz w:val="22"/>
          <w:szCs w:val="22"/>
        </w:rPr>
      </w:pPr>
      <w:r>
        <w:rPr>
          <w:sz w:val="22"/>
          <w:szCs w:val="22"/>
        </w:rPr>
        <w:t>The Saturation-Rigidity Principle (SRP) is a meta-law: it is not derived from an axiomatic system but imposes a necessary structural condition on any system exhibiting persistence. It is stated here in its FGIR form; related variational treatments of rigidity and saturation conditions appear in the information-geometric literature on Riemannian manifolds and gradient flows (Amari and Nagaoka, 2000; Frieden, 2004).</w:t>
      </w:r>
    </w:p>
    <w:p w14:paraId="479B8B85" w14:textId="77777777" w:rsidR="004D2D6C" w:rsidRPr="00C651E7" w:rsidRDefault="00000000">
      <w:pPr>
        <w:spacing w:after="160" w:line="276" w:lineRule="auto"/>
        <w:jc w:val="both"/>
        <w:rPr>
          <w:sz w:val="22"/>
          <w:szCs w:val="22"/>
        </w:rPr>
      </w:pPr>
      <w:r>
        <w:rPr>
          <w:sz w:val="22"/>
          <w:szCs w:val="22"/>
        </w:rPr>
        <w:t xml:space="preserve">The principle comprises three conditions, each indispensable to one another. Read in isolation, each condition is plausible but not sufficient: a system could be saturated yet fragile, rigid yet slow to recover, or fast-recovering yet never fully saturated. Only the joint imposition of all three conditions produces what FGIR calls </w:t>
      </w:r>
      <w:r>
        <w:rPr>
          <w:i/>
          <w:iCs/>
          <w:sz w:val="22"/>
          <w:szCs w:val="22"/>
        </w:rPr>
        <w:t>constitutional persistence</w:t>
      </w:r>
      <w:r>
        <w:rPr>
          <w:sz w:val="22"/>
          <w:szCs w:val="22"/>
        </w:rPr>
        <w:t>, the state in which informational structure has locked into a stable, enacted form that resists perturbation and restores itself with superlinear speed. The formal statement of the SRP makes each of these three requirements precise.</w:t>
      </w:r>
    </w:p>
    <w:p w14:paraId="354439BF" w14:textId="77777777" w:rsidR="004D2D6C" w:rsidRPr="00C651E7" w:rsidRDefault="00000000" w:rsidP="00D5403D">
      <w:pPr>
        <w:spacing w:before="140" w:after="140" w:line="276" w:lineRule="auto"/>
        <w:ind w:left="357"/>
        <w:contextualSpacing/>
        <w:jc w:val="both"/>
        <w:rPr>
          <w:sz w:val="22"/>
          <w:szCs w:val="22"/>
        </w:rPr>
      </w:pPr>
      <w:r>
        <w:rPr>
          <w:b/>
          <w:bCs/>
          <w:sz w:val="22"/>
          <w:szCs w:val="22"/>
        </w:rPr>
        <w:t xml:space="preserve">Principle (SRP).  </w:t>
      </w:r>
      <w:r>
        <w:rPr>
          <w:sz w:val="22"/>
          <w:szCs w:val="22"/>
        </w:rPr>
        <w:t>Any structure that persists through time must satisfy three simultaneous conditions:</w:t>
      </w:r>
    </w:p>
    <w:p w14:paraId="1568125B" w14:textId="77777777" w:rsidR="004D2D6C" w:rsidRPr="00C651E7" w:rsidRDefault="00000000" w:rsidP="00D5403D">
      <w:pPr>
        <w:spacing w:before="140" w:after="140" w:line="276" w:lineRule="auto"/>
        <w:ind w:left="357"/>
        <w:contextualSpacing/>
        <w:jc w:val="both"/>
        <w:rPr>
          <w:sz w:val="22"/>
          <w:szCs w:val="22"/>
        </w:rPr>
      </w:pPr>
      <w:r>
        <w:rPr>
          <w:b/>
          <w:bCs/>
          <w:sz w:val="22"/>
          <w:szCs w:val="22"/>
        </w:rPr>
        <w:t xml:space="preserve">S1 (Capacity Saturation).  </w:t>
      </w:r>
      <w:r>
        <w:rPr>
          <w:sz w:val="22"/>
          <w:szCs w:val="22"/>
        </w:rPr>
        <w:t>The structure attains the maximum information, energy, or complexity permitted by its constraints.</w:t>
      </w:r>
    </w:p>
    <w:p w14:paraId="5494E8DA" w14:textId="77777777" w:rsidR="004D2D6C" w:rsidRPr="00C651E7" w:rsidRDefault="00000000" w:rsidP="00D5403D">
      <w:pPr>
        <w:spacing w:before="140" w:after="140" w:line="276" w:lineRule="auto"/>
        <w:ind w:left="357"/>
        <w:contextualSpacing/>
        <w:jc w:val="both"/>
        <w:rPr>
          <w:sz w:val="22"/>
          <w:szCs w:val="22"/>
        </w:rPr>
      </w:pPr>
      <w:r>
        <w:rPr>
          <w:b/>
          <w:bCs/>
          <w:sz w:val="22"/>
          <w:szCs w:val="22"/>
        </w:rPr>
        <w:t xml:space="preserve">S2 (Defect Rigidity).  </w:t>
      </w:r>
      <w:r>
        <w:rPr>
          <w:sz w:val="22"/>
          <w:szCs w:val="22"/>
        </w:rPr>
        <w:t>Deviations from the saturation state incur a cost that grows with the local second-order structure. In smooth settings, the defect functional takes the form S(x) = ‖grad</w:t>
      </w:r>
      <w:r>
        <w:rPr>
          <w:sz w:val="22"/>
          <w:szCs w:val="22"/>
          <w:vertAlign w:val="subscript"/>
        </w:rPr>
        <w:t>G</w:t>
      </w:r>
      <w:r>
        <w:rPr>
          <w:sz w:val="22"/>
          <w:szCs w:val="22"/>
        </w:rPr>
        <w:t xml:space="preserve"> W(x)‖²</w:t>
      </w:r>
      <w:r>
        <w:rPr>
          <w:sz w:val="22"/>
          <w:szCs w:val="22"/>
          <w:vertAlign w:val="subscript"/>
        </w:rPr>
        <w:t>G</w:t>
      </w:r>
      <w:r>
        <w:rPr>
          <w:sz w:val="22"/>
          <w:szCs w:val="22"/>
        </w:rPr>
        <w:t>, where W is the capacity functional and G is a Riemannian metric on the state space.</w:t>
      </w:r>
    </w:p>
    <w:p w14:paraId="6FB5CB15" w14:textId="77777777" w:rsidR="004D2D6C" w:rsidRDefault="00000000" w:rsidP="00D5403D">
      <w:pPr>
        <w:spacing w:before="140" w:after="140" w:line="276" w:lineRule="auto"/>
        <w:ind w:left="357"/>
        <w:contextualSpacing/>
        <w:jc w:val="both"/>
        <w:rPr>
          <w:sz w:val="22"/>
          <w:szCs w:val="22"/>
        </w:rPr>
      </w:pPr>
      <w:r>
        <w:rPr>
          <w:b/>
          <w:bCs/>
          <w:sz w:val="22"/>
          <w:szCs w:val="22"/>
        </w:rPr>
        <w:t xml:space="preserve">S3 (Rapid Locking).  </w:t>
      </w:r>
      <w:r>
        <w:rPr>
          <w:sz w:val="22"/>
          <w:szCs w:val="22"/>
        </w:rPr>
        <w:t>The return to saturation is superlinearly fast. The analytically sharp mechanism is a Łojasiewicz–gradient inequality near an isolated critical point x*:</w:t>
      </w:r>
    </w:p>
    <w:p w14:paraId="2C3CE74E" w14:textId="77777777" w:rsidR="00356A86" w:rsidRPr="00356A86" w:rsidRDefault="00356A86" w:rsidP="00356A86">
      <w:pPr>
        <w:spacing w:before="140" w:after="140" w:line="276" w:lineRule="auto"/>
        <w:ind w:left="360"/>
        <w:jc w:val="right"/>
        <w:rPr>
          <w:sz w:val="22"/>
          <w:szCs w:val="22"/>
        </w:rPr>
      </w:pPr>
      <m:oMath>
        <m:r>
          <m:rPr>
            <m:sty m:val="p"/>
          </m:rPr>
          <w:rPr>
            <w:rFonts w:ascii="Cambria Math" w:hAnsi="Cambria Math"/>
            <w:sz w:val="22"/>
            <w:szCs w:val="22"/>
          </w:rPr>
          <m:t>∣</m:t>
        </m:r>
        <m: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-W</m:t>
        </m:r>
        <m:d>
          <m:dPr>
            <m:ctrlPr>
              <w:rPr>
                <w:rFonts w:ascii="Cambria Math" w:hAnsi="Cambria Math"/>
                <w:i/>
                <w:sz w:val="22"/>
                <w:szCs w:val="22"/>
              </w:rPr>
            </m:ctrlPr>
          </m:dPr>
          <m:e>
            <m:sSup>
              <m:sSupPr>
                <m:ctrlPr>
                  <w:rPr>
                    <w:rFonts w:ascii="Cambria Math" w:hAnsi="Cambria Math"/>
                    <w:sz w:val="22"/>
                    <w:szCs w:val="22"/>
                  </w:rPr>
                </m:ctrlPr>
              </m:sSupPr>
              <m:e>
                <m:r>
                  <w:rPr>
                    <w:rFonts w:ascii="Cambria Math" w:hAnsi="Cambria Math"/>
                    <w:sz w:val="22"/>
                    <w:szCs w:val="22"/>
                  </w:rPr>
                  <m:t>x</m:t>
                </m:r>
              </m:e>
              <m:sup>
                <m:r>
                  <m:rPr>
                    <m:nor/>
                  </m:rPr>
                  <w:rPr>
                    <w:sz w:val="22"/>
                    <w:szCs w:val="22"/>
                  </w:rPr>
                  <m:t>\*</m:t>
                </m:r>
              </m:sup>
            </m:sSup>
          </m:e>
        </m:d>
        <m:sSup>
          <m:sSupPr>
            <m:ctrlPr>
              <w:rPr>
                <w:rFonts w:ascii="Cambria Math" w:hAnsi="Cambria Math"/>
                <w:sz w:val="22"/>
                <w:szCs w:val="22"/>
              </w:rPr>
            </m:ctrlPr>
          </m:sSupPr>
          <m:e>
            <m:r>
              <m:rPr>
                <m:sty m:val="p"/>
              </m:rPr>
              <w:rPr>
                <w:rFonts w:ascii="Cambria Math" w:hAnsi="Cambria Math"/>
                <w:sz w:val="22"/>
                <w:szCs w:val="22"/>
              </w:rPr>
              <m:t>∣</m:t>
            </m:r>
          </m:e>
          <m:sup>
            <m:r>
              <w:rPr>
                <w:rFonts w:ascii="Cambria Math" w:hAnsi="Cambria Math"/>
                <w:sz w:val="22"/>
                <w:szCs w:val="22"/>
              </w:rPr>
              <m:t>1-α</m:t>
            </m:r>
          </m:sup>
        </m:sSup>
        <m:r>
          <m:rPr>
            <m:nor/>
          </m:rPr>
          <w:rPr>
            <w:sz w:val="22"/>
            <w:szCs w:val="22"/>
          </w:rPr>
          <m:t>  </m:t>
        </m:r>
        <m:r>
          <w:rPr>
            <w:rFonts w:ascii="Cambria Math" w:hAnsi="Cambria Math"/>
            <w:sz w:val="22"/>
            <w:szCs w:val="22"/>
          </w:rPr>
          <m:t>≤</m:t>
        </m:r>
        <m:r>
          <m:rPr>
            <m:nor/>
          </m:rPr>
          <w:rPr>
            <w:sz w:val="22"/>
            <w:szCs w:val="22"/>
          </w:rPr>
          <m:t>  </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L</m:t>
            </m:r>
          </m:sub>
        </m:sSub>
        <m:r>
          <m:rPr>
            <m:nor/>
          </m:rPr>
          <w:rPr>
            <w:sz w:val="22"/>
            <w:szCs w:val="22"/>
          </w:rPr>
          <m:t> </m:t>
        </m:r>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g</m:t>
            </m:r>
          </m:sub>
        </m:sSub>
        <m: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x</m:t>
            </m:r>
          </m:e>
        </m:d>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g</m:t>
            </m:r>
          </m:sub>
        </m:sSub>
        <m:r>
          <w:rPr>
            <w:rFonts w:ascii="Cambria Math" w:hAnsi="Cambria Math"/>
            <w:sz w:val="22"/>
            <w:szCs w:val="22"/>
          </w:rPr>
          <m:t>,   α∈(0,</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m:t>
        </m:r>
        <m:r>
          <m:rPr>
            <m:sty m:val="p"/>
          </m:rPr>
          <w:rPr>
            <w:rFonts w:ascii="Cambria Math" w:hAnsi="Cambria Math"/>
            <w:sz w:val="22"/>
            <w:szCs w:val="22"/>
          </w:rPr>
          <m:t>.</m:t>
        </m:r>
      </m:oMath>
      <w:r>
        <w:rPr>
          <w:sz w:val="22"/>
          <w:szCs w:val="22"/>
        </w:rPr>
        <w:t xml:space="preserve"> </w:t>
      </w:r>
      <w:r>
        <w:rPr>
          <w:sz w:val="22"/>
          <w:szCs w:val="22"/>
        </w:rPr>
        <w:tab/>
      </w:r>
      <w:r>
        <w:rPr>
          <w:sz w:val="22"/>
          <w:szCs w:val="22"/>
        </w:rPr>
        <w:tab/>
      </w:r>
      <w:r>
        <w:rPr>
          <w:sz w:val="22"/>
          <w:szCs w:val="22"/>
        </w:rPr>
        <w:tab/>
        <w:t>(2)</w:t>
      </w:r>
    </w:p>
    <w:p w14:paraId="37826CC9" w14:textId="77777777" w:rsidR="004D2D6C" w:rsidRPr="002B5474" w:rsidRDefault="00000000" w:rsidP="00356A86">
      <w:pPr>
        <w:spacing w:before="140" w:after="140" w:line="276" w:lineRule="auto"/>
        <w:jc w:val="both"/>
        <w:rPr>
          <w:sz w:val="22"/>
          <w:szCs w:val="22"/>
        </w:rPr>
      </w:pPr>
      <w:r>
        <w:rPr>
          <w:sz w:val="22"/>
          <w:szCs w:val="22"/>
        </w:rPr>
        <w:t>Here, KL &gt; 0 is the Łojasiewicz constant. When α &gt; 0, convergence to the frozen state is superlinear: a phase transition, not gradual optimisation. This superlinear convergence property is the content of the Łojasiewicz–Simon gradient inequality (Łojasiewicz, 1965; Simon, 1983; Simon, 1996; Jendoubi, 1998; Chill, 2003; Absil et al., 2005): any analytic or real-algebraic function satisfies a gradient inequality of this form near an isolated critical point, forcing finite-time convergence rather than asymptotic drift.</w:t>
      </w:r>
    </w:p>
    <w:p w14:paraId="21941F82" w14:textId="77777777" w:rsidR="004D2D6C" w:rsidRPr="00C651E7" w:rsidRDefault="00000000">
      <w:pPr>
        <w:spacing w:after="160" w:line="276" w:lineRule="auto"/>
        <w:jc w:val="both"/>
        <w:rPr>
          <w:sz w:val="22"/>
          <w:szCs w:val="22"/>
        </w:rPr>
      </w:pPr>
      <w:r>
        <w:rPr>
          <w:sz w:val="22"/>
          <w:szCs w:val="22"/>
        </w:rPr>
        <w:t xml:space="preserve">The Łojasiewicz condition in S3 accomplishes more than ordinary gradient convergence guarantees. An ordinary gradient inequality would guarantee convergence, but convergence could be arbitrarily slow, a gradual drift rather than a decisive lock. The Łojasiewicz exponent α </w:t>
      </w:r>
      <w:r>
        <w:rPr>
          <w:rFonts w:ascii="Cambria Math" w:hAnsi="Cambria Math" w:cs="Cambria Math"/>
          <w:sz w:val="22"/>
          <w:szCs w:val="22"/>
        </w:rPr>
        <w:t>∈</w:t>
      </w:r>
      <w:r>
        <w:rPr>
          <w:sz w:val="22"/>
          <w:szCs w:val="22"/>
        </w:rPr>
        <w:t xml:space="preserve"> (0, 1/2] sharpens this to superlinear convergence. The system does not merely approach the saturation state. It snaps into it as if crossing a phase boundary. This is the mathematical image of what the FGIR programme calls </w:t>
      </w:r>
      <w:r>
        <w:rPr>
          <w:i/>
          <w:iCs/>
          <w:sz w:val="22"/>
          <w:szCs w:val="22"/>
        </w:rPr>
        <w:t>enaction</w:t>
      </w:r>
      <w:r>
        <w:rPr>
          <w:sz w:val="22"/>
          <w:szCs w:val="22"/>
        </w:rPr>
        <w:t>, the passage from dispositional potential to stabilised, corporeal existence.</w:t>
      </w:r>
    </w:p>
    <w:p w14:paraId="4A897274" w14:textId="77777777" w:rsidR="004D2D6C" w:rsidRPr="00C651E7" w:rsidRDefault="00000000">
      <w:pPr>
        <w:spacing w:after="160" w:line="276" w:lineRule="auto"/>
        <w:jc w:val="both"/>
        <w:rPr>
          <w:sz w:val="22"/>
          <w:szCs w:val="22"/>
        </w:rPr>
      </w:pPr>
      <w:r>
        <w:rPr>
          <w:sz w:val="22"/>
          <w:szCs w:val="22"/>
        </w:rPr>
        <w:t xml:space="preserve">The three MSS axioms are operationally equivalent to SRP: S1 ⇔ Admissibility (isolated saturation state), S2 ⇔ Defect Rigidity (squared gradient dissipation), S3 ⇔ Coercivity (vanishing defect forces convergence). This equivalence follows directly from the definitions: given the Łojasiewicz inequality at S3, the existence of an isolated minimiser at S1 is a consequence of the gradient bound; and the quadratic </w:t>
      </w:r>
      <w:r>
        <w:rPr>
          <w:sz w:val="22"/>
          <w:szCs w:val="22"/>
        </w:rPr>
        <w:lastRenderedPageBreak/>
        <w:t>dissipation at S2 is the unique form consistent with both the ellipticity requirement and the squared-gradient structure of the admissibility energy functional defined in §3.1.</w:t>
      </w:r>
    </w:p>
    <w:p w14:paraId="15F896C6" w14:textId="77777777" w:rsidR="004D2D6C" w:rsidRPr="00C651E7" w:rsidRDefault="00000000">
      <w:pPr>
        <w:pStyle w:val="Heading1"/>
        <w:rPr>
          <w:sz w:val="22"/>
          <w:szCs w:val="22"/>
        </w:rPr>
      </w:pPr>
      <w:r>
        <w:rPr>
          <w:sz w:val="22"/>
          <w:szCs w:val="22"/>
        </w:rPr>
        <w:t>3.  The Fundamental Law E = ℱc² on an Information Manifold</w:t>
      </w:r>
    </w:p>
    <w:p w14:paraId="7CBCDA1B" w14:textId="77777777" w:rsidR="004D2D6C" w:rsidRPr="00C651E7" w:rsidRDefault="00000000">
      <w:pPr>
        <w:pStyle w:val="Heading2"/>
        <w:rPr>
          <w:sz w:val="22"/>
          <w:szCs w:val="22"/>
        </w:rPr>
      </w:pPr>
      <w:r>
        <w:rPr>
          <w:sz w:val="22"/>
          <w:szCs w:val="22"/>
        </w:rPr>
        <w:t>3.1  Definitions</w:t>
      </w:r>
    </w:p>
    <w:p w14:paraId="74083624" w14:textId="77777777" w:rsidR="004D2D6C" w:rsidRPr="00C651E7" w:rsidRDefault="00000000">
      <w:pPr>
        <w:spacing w:after="160" w:line="276" w:lineRule="auto"/>
        <w:jc w:val="both"/>
        <w:rPr>
          <w:sz w:val="22"/>
          <w:szCs w:val="22"/>
        </w:rPr>
      </w:pPr>
      <w:r>
        <w:rPr>
          <w:sz w:val="22"/>
          <w:szCs w:val="22"/>
        </w:rPr>
        <w:t xml:space="preserve">With the SRP in hand, the next task is to instantiate its conditions on a concrete mathematical object. The appropriate object is an </w:t>
      </w:r>
      <w:r>
        <w:rPr>
          <w:i/>
          <w:iCs/>
          <w:sz w:val="22"/>
          <w:szCs w:val="22"/>
        </w:rPr>
        <w:t>information manifold</w:t>
      </w:r>
      <w:r>
        <w:rPr>
          <w:sz w:val="22"/>
          <w:szCs w:val="22"/>
        </w:rPr>
        <w:t>: a smooth space in which each point represents a possible informational state of the system. The following definitions introduce the manifold, the class of admissible metrics on it, and the key quantities, pointwise coercivity, global coercivity constant, admissibility energy, and information mass, that will appear in the Fundamental Law. Readers familiar with Riemannian geometry will recognise the constructions; those less so may treat the definitions as a glossary and concentrate on the informal meaning attached to each term.</w:t>
      </w:r>
    </w:p>
    <w:p w14:paraId="7A11F87D" w14:textId="77777777" w:rsidR="004D2D6C" w:rsidRPr="00C651E7" w:rsidRDefault="00000000">
      <w:pPr>
        <w:spacing w:after="160" w:line="276" w:lineRule="auto"/>
        <w:jc w:val="both"/>
        <w:rPr>
          <w:sz w:val="22"/>
          <w:szCs w:val="22"/>
        </w:rPr>
      </w:pPr>
      <w:r>
        <w:rPr>
          <w:sz w:val="22"/>
          <w:szCs w:val="22"/>
        </w:rPr>
        <w:t xml:space="preserve">An </w:t>
      </w:r>
      <w:r>
        <w:rPr>
          <w:b/>
          <w:bCs/>
          <w:sz w:val="22"/>
          <w:szCs w:val="22"/>
        </w:rPr>
        <w:t>information manifold</w:t>
      </w:r>
      <w:r>
        <w:rPr>
          <w:sz w:val="22"/>
          <w:szCs w:val="22"/>
        </w:rPr>
        <w:t xml:space="preserve"> is a pair (ℳ, I), where ℳ is a second-countable Hausdorff manifold and I : ℳ → ℝ≥₀ is a proper, lower semi-continuous functional (the </w:t>
      </w:r>
      <w:r>
        <w:rPr>
          <w:i/>
          <w:iCs/>
          <w:sz w:val="22"/>
          <w:szCs w:val="22"/>
        </w:rPr>
        <w:t>information potential</w:t>
      </w:r>
      <w:r>
        <w:rPr>
          <w:sz w:val="22"/>
          <w:szCs w:val="22"/>
        </w:rPr>
        <w:t>) such that every sublevel set I⁻¹([0, K]) is compact and inf I = 0 (Lin, 2026b, Assumption 12.1).</w:t>
      </w:r>
    </w:p>
    <w:p w14:paraId="1E76C587" w14:textId="77777777" w:rsidR="004D2D6C" w:rsidRPr="00C651E7" w:rsidRDefault="00000000">
      <w:pPr>
        <w:spacing w:after="160" w:line="276" w:lineRule="auto"/>
        <w:jc w:val="both"/>
        <w:rPr>
          <w:sz w:val="22"/>
          <w:szCs w:val="22"/>
        </w:rPr>
      </w:pPr>
      <w:r>
        <w:rPr>
          <w:sz w:val="22"/>
          <w:szCs w:val="22"/>
        </w:rPr>
        <w:t xml:space="preserve">An </w:t>
      </w:r>
      <w:r>
        <w:rPr>
          <w:b/>
          <w:bCs/>
          <w:sz w:val="22"/>
          <w:szCs w:val="22"/>
        </w:rPr>
        <w:t>admissible geometry class</w:t>
      </w:r>
      <w:r>
        <w:rPr>
          <w:sz w:val="22"/>
          <w:szCs w:val="22"/>
        </w:rPr>
        <w:t xml:space="preserve"> ġ</w:t>
      </w:r>
      <w:r>
        <w:rPr>
          <w:sz w:val="22"/>
          <w:szCs w:val="22"/>
          <w:vertAlign w:val="subscript"/>
        </w:rPr>
        <w:t>adm</w:t>
      </w:r>
      <w:r>
        <w:rPr>
          <w:sz w:val="22"/>
          <w:szCs w:val="22"/>
        </w:rPr>
        <w:t xml:space="preserve"> is a nonempty class of Riemannian metrics on ℳ such that I is weakly differentiable with respect to each g </w:t>
      </w:r>
      <w:r>
        <w:rPr>
          <w:rFonts w:ascii="Cambria Math" w:hAnsi="Cambria Math" w:cs="Cambria Math"/>
          <w:sz w:val="22"/>
          <w:szCs w:val="22"/>
        </w:rPr>
        <w:t>∈</w:t>
      </w:r>
      <w:r>
        <w:rPr>
          <w:sz w:val="22"/>
          <w:szCs w:val="22"/>
        </w:rPr>
        <w:t xml:space="preserve"> ġ</w:t>
      </w:r>
      <w:r>
        <w:rPr>
          <w:sz w:val="22"/>
          <w:szCs w:val="22"/>
          <w:vertAlign w:val="subscript"/>
        </w:rPr>
        <w:t>adm</w:t>
      </w:r>
      <w:r>
        <w:rPr>
          <w:sz w:val="22"/>
          <w:szCs w:val="22"/>
        </w:rPr>
        <w:t>, and ġ</w:t>
      </w:r>
      <w:r>
        <w:rPr>
          <w:sz w:val="22"/>
          <w:szCs w:val="22"/>
          <w:vertAlign w:val="subscript"/>
        </w:rPr>
        <w:t>adm</w:t>
      </w:r>
      <w:r>
        <w:rPr>
          <w:sz w:val="22"/>
          <w:szCs w:val="22"/>
        </w:rPr>
        <w:t xml:space="preserve"> is closed under the relevant convergence mode (Lin, 2026b, Assumption 12.2).</w:t>
      </w:r>
    </w:p>
    <w:p w14:paraId="4D849818" w14:textId="77777777" w:rsidR="004D2D6C" w:rsidRPr="00C651E7" w:rsidRDefault="00000000">
      <w:pPr>
        <w:spacing w:after="160" w:line="276" w:lineRule="auto"/>
        <w:jc w:val="both"/>
        <w:rPr>
          <w:sz w:val="22"/>
          <w:szCs w:val="22"/>
        </w:rPr>
      </w:pPr>
      <w:r>
        <w:rPr>
          <w:b/>
          <w:bCs/>
          <w:sz w:val="22"/>
          <w:szCs w:val="22"/>
        </w:rPr>
        <w:t xml:space="preserve">Pointwise coercivity: </w:t>
      </w:r>
      <w:r>
        <w:rPr>
          <w:sz w:val="22"/>
          <w:szCs w:val="22"/>
        </w:rPr>
        <w:t>c</w:t>
      </w:r>
      <w:r>
        <w:rPr>
          <w:sz w:val="22"/>
          <w:szCs w:val="22"/>
          <w:vertAlign w:val="subscript"/>
        </w:rPr>
        <w:t>g</w:t>
      </w:r>
      <w:r>
        <w:rPr>
          <w:sz w:val="22"/>
          <w:szCs w:val="22"/>
        </w:rPr>
        <w:t>(x) := ‖</w:t>
      </w:r>
      <w:r>
        <w:rPr>
          <w:rFonts w:ascii="Cambria Math" w:hAnsi="Cambria Math" w:cs="Cambria Math"/>
          <w:sz w:val="22"/>
          <w:szCs w:val="22"/>
        </w:rPr>
        <w:t>∇</w:t>
      </w:r>
      <w:r>
        <w:rPr>
          <w:sz w:val="22"/>
          <w:szCs w:val="22"/>
          <w:vertAlign w:val="subscript"/>
        </w:rPr>
        <w:t>g</w:t>
      </w:r>
      <w:r>
        <w:rPr>
          <w:sz w:val="22"/>
          <w:szCs w:val="22"/>
        </w:rPr>
        <w:t xml:space="preserve"> I(x)‖</w:t>
      </w:r>
      <w:r>
        <w:rPr>
          <w:sz w:val="22"/>
          <w:szCs w:val="22"/>
          <w:vertAlign w:val="subscript"/>
        </w:rPr>
        <w:t>g</w:t>
      </w:r>
      <w:r>
        <w:rPr>
          <w:sz w:val="22"/>
          <w:szCs w:val="22"/>
        </w:rPr>
        <w:t xml:space="preserve">.   </w:t>
      </w:r>
      <w:r>
        <w:rPr>
          <w:b/>
          <w:bCs/>
          <w:sz w:val="22"/>
          <w:szCs w:val="22"/>
        </w:rPr>
        <w:t xml:space="preserve">Global coercivity constant: </w:t>
      </w:r>
      <w:r>
        <w:rPr>
          <w:sz w:val="22"/>
          <w:szCs w:val="22"/>
        </w:rPr>
        <w:t>c := sup</w:t>
      </w:r>
      <w:r>
        <w:rPr>
          <w:sz w:val="22"/>
          <w:szCs w:val="22"/>
          <w:vertAlign w:val="subscript"/>
        </w:rPr>
        <w:t>g</w:t>
      </w:r>
      <w:r>
        <w:rPr>
          <w:rFonts w:ascii="Cambria Math" w:hAnsi="Cambria Math" w:cs="Cambria Math"/>
          <w:sz w:val="22"/>
          <w:szCs w:val="22"/>
          <w:vertAlign w:val="subscript"/>
        </w:rPr>
        <w:t>∈</w:t>
      </w:r>
      <w:r>
        <w:rPr>
          <w:sz w:val="22"/>
          <w:szCs w:val="22"/>
          <w:vertAlign w:val="subscript"/>
        </w:rPr>
        <w:t>ġadm</w:t>
      </w:r>
      <w:r>
        <w:rPr>
          <w:sz w:val="22"/>
          <w:szCs w:val="22"/>
        </w:rPr>
        <w:t xml:space="preserve"> ess sup</w:t>
      </w:r>
      <w:r>
        <w:rPr>
          <w:sz w:val="22"/>
          <w:szCs w:val="22"/>
          <w:vertAlign w:val="subscript"/>
        </w:rPr>
        <w:t>x</w:t>
      </w:r>
      <w:r>
        <w:rPr>
          <w:rFonts w:ascii="Cambria Math" w:hAnsi="Cambria Math" w:cs="Cambria Math"/>
          <w:sz w:val="22"/>
          <w:szCs w:val="22"/>
          <w:vertAlign w:val="subscript"/>
        </w:rPr>
        <w:t>∈</w:t>
      </w:r>
      <w:r>
        <w:rPr>
          <w:sz w:val="22"/>
          <w:szCs w:val="22"/>
          <w:vertAlign w:val="subscript"/>
        </w:rPr>
        <w:t>ℳ</w:t>
      </w:r>
      <w:r>
        <w:rPr>
          <w:sz w:val="22"/>
          <w:szCs w:val="22"/>
        </w:rPr>
        <w:t xml:space="preserve"> c</w:t>
      </w:r>
      <w:r>
        <w:rPr>
          <w:sz w:val="22"/>
          <w:szCs w:val="22"/>
          <w:vertAlign w:val="subscript"/>
        </w:rPr>
        <w:t>g</w:t>
      </w:r>
      <w:r>
        <w:rPr>
          <w:sz w:val="22"/>
          <w:szCs w:val="22"/>
        </w:rPr>
        <w:t>(x).</w:t>
      </w:r>
    </w:p>
    <w:p w14:paraId="72CBB891" w14:textId="77777777" w:rsidR="004D2D6C" w:rsidRPr="00C651E7" w:rsidRDefault="00000000">
      <w:pPr>
        <w:spacing w:after="160" w:line="276" w:lineRule="auto"/>
        <w:jc w:val="both"/>
        <w:rPr>
          <w:sz w:val="22"/>
          <w:szCs w:val="22"/>
        </w:rPr>
      </w:pPr>
      <w:r>
        <w:rPr>
          <w:b/>
          <w:bCs/>
          <w:sz w:val="22"/>
          <w:szCs w:val="22"/>
        </w:rPr>
        <w:t xml:space="preserve">Admissibility energy: </w:t>
      </w:r>
      <w:r>
        <w:rPr>
          <w:sz w:val="22"/>
          <w:szCs w:val="22"/>
        </w:rPr>
        <w:t>E := inf</w:t>
      </w:r>
      <w:r>
        <w:rPr>
          <w:sz w:val="22"/>
          <w:szCs w:val="22"/>
          <w:vertAlign w:val="subscript"/>
        </w:rPr>
        <w:t>g</w:t>
      </w:r>
      <w:r>
        <w:rPr>
          <w:rFonts w:ascii="Cambria Math" w:hAnsi="Cambria Math" w:cs="Cambria Math"/>
          <w:sz w:val="22"/>
          <w:szCs w:val="22"/>
          <w:vertAlign w:val="subscript"/>
        </w:rPr>
        <w:t>∈</w:t>
      </w:r>
      <w:r>
        <w:rPr>
          <w:sz w:val="22"/>
          <w:szCs w:val="22"/>
          <w:vertAlign w:val="subscript"/>
        </w:rPr>
        <w:t>ġadm</w:t>
      </w:r>
      <w:r>
        <w:rPr>
          <w:sz w:val="22"/>
          <w:szCs w:val="22"/>
        </w:rPr>
        <w:t xml:space="preserve"> ∫ℳ I(x) ‖</w:t>
      </w:r>
      <w:r>
        <w:rPr>
          <w:rFonts w:ascii="Cambria Math" w:hAnsi="Cambria Math" w:cs="Cambria Math"/>
          <w:sz w:val="22"/>
          <w:szCs w:val="22"/>
        </w:rPr>
        <w:t>∇</w:t>
      </w:r>
      <w:r>
        <w:rPr>
          <w:sz w:val="22"/>
          <w:szCs w:val="22"/>
          <w:vertAlign w:val="subscript"/>
        </w:rPr>
        <w:t>g</w:t>
      </w:r>
      <w:r>
        <w:rPr>
          <w:sz w:val="22"/>
          <w:szCs w:val="22"/>
        </w:rPr>
        <w:t xml:space="preserve"> I(x)‖²</w:t>
      </w:r>
      <w:r>
        <w:rPr>
          <w:sz w:val="22"/>
          <w:szCs w:val="22"/>
          <w:vertAlign w:val="subscript"/>
        </w:rPr>
        <w:t>g</w:t>
      </w:r>
      <w:r>
        <w:rPr>
          <w:sz w:val="22"/>
          <w:szCs w:val="22"/>
        </w:rPr>
        <w:t xml:space="preserve"> dμ</w:t>
      </w:r>
      <w:r>
        <w:rPr>
          <w:sz w:val="22"/>
          <w:szCs w:val="22"/>
          <w:vertAlign w:val="subscript"/>
        </w:rPr>
        <w:t>g</w:t>
      </w:r>
      <w:r>
        <w:rPr>
          <w:sz w:val="22"/>
          <w:szCs w:val="22"/>
        </w:rPr>
        <w:t xml:space="preserve">(x).   </w:t>
      </w:r>
      <w:r>
        <w:rPr>
          <w:b/>
          <w:bCs/>
          <w:sz w:val="22"/>
          <w:szCs w:val="22"/>
        </w:rPr>
        <w:t xml:space="preserve">Information mass: </w:t>
      </w:r>
      <w:r>
        <w:rPr>
          <w:sz w:val="22"/>
          <w:szCs w:val="22"/>
        </w:rPr>
        <w:t>ℱ := ∫ℳ I dμ</w:t>
      </w:r>
      <w:r>
        <w:rPr>
          <w:sz w:val="22"/>
          <w:szCs w:val="22"/>
          <w:vertAlign w:val="subscript"/>
        </w:rPr>
        <w:t>g*</w:t>
      </w:r>
      <w:r>
        <w:rPr>
          <w:sz w:val="22"/>
          <w:szCs w:val="22"/>
        </w:rPr>
        <w:t>.</w:t>
      </w:r>
    </w:p>
    <w:p w14:paraId="0C748971" w14:textId="77777777" w:rsidR="004D2D6C" w:rsidRPr="00C651E7" w:rsidRDefault="00000000">
      <w:pPr>
        <w:spacing w:after="160" w:line="276" w:lineRule="auto"/>
        <w:jc w:val="both"/>
        <w:rPr>
          <w:sz w:val="22"/>
          <w:szCs w:val="22"/>
        </w:rPr>
      </w:pPr>
      <w:r>
        <w:rPr>
          <w:sz w:val="22"/>
          <w:szCs w:val="22"/>
        </w:rPr>
        <w:t>Two features of the admissibility energy deserve attention before the derivation begins. First, the infimum over all admissible metrics means that E records the smallest energy compatible with the geometry of the manifold, a minimax quantity that captures the most efficient configuration. Second, the squared gradient ‖</w:t>
      </w:r>
      <w:r>
        <w:rPr>
          <w:rFonts w:ascii="Cambria Math" w:hAnsi="Cambria Math" w:cs="Cambria Math"/>
          <w:sz w:val="22"/>
          <w:szCs w:val="22"/>
        </w:rPr>
        <w:t>∇</w:t>
      </w:r>
      <w:r>
        <w:rPr>
          <w:sz w:val="22"/>
          <w:szCs w:val="22"/>
        </w:rPr>
        <w:t>I‖² in the integrand is not an arbitrary exponent: it is the unique choice forced by the geometric constraints of ellipticity, self-adjointness, and the maximum principle, as the following remark records.</w:t>
      </w:r>
    </w:p>
    <w:p w14:paraId="6DC963C7" w14:textId="77777777" w:rsidR="004D2D6C" w:rsidRPr="00C651E7" w:rsidRDefault="00000000">
      <w:pPr>
        <w:spacing w:before="140" w:after="140" w:line="276" w:lineRule="auto"/>
        <w:ind w:left="360"/>
        <w:jc w:val="both"/>
        <w:rPr>
          <w:sz w:val="22"/>
          <w:szCs w:val="22"/>
        </w:rPr>
      </w:pPr>
      <w:r>
        <w:rPr>
          <w:b/>
          <w:bCs/>
          <w:sz w:val="22"/>
          <w:szCs w:val="22"/>
        </w:rPr>
        <w:t xml:space="preserve">Remark (Exponent α = 2).  </w:t>
      </w:r>
      <w:r>
        <w:rPr>
          <w:sz w:val="22"/>
          <w:szCs w:val="22"/>
        </w:rPr>
        <w:t>The squared coercivity c² in the energy functional is not an arbitrary choice of exponent. Within the FGIR programme, the exponent α = 2 is uniquely forced by the joint action of three geometric constraints: ellipticity, self-adjointness, and the maximum principle (FIFT v9h P25; Yolles, 2025). A formal derivation of this uniqueness is the subject of Volume II of the FGIR Trilogy (in preparation). In the present derivation, the squared gradient ‖</w:t>
      </w:r>
      <w:r>
        <w:rPr>
          <w:rFonts w:ascii="Cambria Math" w:hAnsi="Cambria Math" w:cs="Cambria Math"/>
          <w:sz w:val="22"/>
          <w:szCs w:val="22"/>
        </w:rPr>
        <w:t>∇</w:t>
      </w:r>
      <w:r>
        <w:rPr>
          <w:sz w:val="22"/>
          <w:szCs w:val="22"/>
        </w:rPr>
        <w:t>I‖² appears via the definition of admissibility energy; the deeper question of why this definition is correct is answered by these three constraints.</w:t>
      </w:r>
    </w:p>
    <w:p w14:paraId="6205BE2E" w14:textId="77777777" w:rsidR="004D2D6C" w:rsidRPr="00C651E7" w:rsidRDefault="00000000">
      <w:pPr>
        <w:pStyle w:val="Heading2"/>
        <w:rPr>
          <w:sz w:val="22"/>
          <w:szCs w:val="22"/>
        </w:rPr>
      </w:pPr>
      <w:r>
        <w:rPr>
          <w:sz w:val="22"/>
          <w:szCs w:val="22"/>
        </w:rPr>
        <w:t>3.2  The Derivation</w:t>
      </w:r>
    </w:p>
    <w:p w14:paraId="115DD257" w14:textId="77777777" w:rsidR="004D2D6C" w:rsidRPr="00C651E7" w:rsidRDefault="00000000">
      <w:pPr>
        <w:spacing w:after="160" w:line="276" w:lineRule="auto"/>
        <w:jc w:val="both"/>
        <w:rPr>
          <w:sz w:val="22"/>
          <w:szCs w:val="22"/>
        </w:rPr>
      </w:pPr>
      <w:r>
        <w:rPr>
          <w:sz w:val="22"/>
          <w:szCs w:val="22"/>
        </w:rPr>
        <w:t xml:space="preserve">The derivation of the Fundamental Law proceeds in three stages. First, Lemma 1 establishes an upper bound on the admissibility energy by exploiting the global coercivity constant c, because the pointwise gradient of I cannot exceed c anywhere on the manifold, and the energy integral is bounded above by c² times the information mass. Second, Lemma 2 establishes a complementary lower bound by isolating the contribution from a region of the manifold where the potential is approximately uniform. Third, the Saturation Assumption identifies a specific region, the </w:t>
      </w:r>
      <w:r>
        <w:rPr>
          <w:i/>
          <w:iCs/>
          <w:sz w:val="22"/>
          <w:szCs w:val="22"/>
        </w:rPr>
        <w:t>saturation set</w:t>
      </w:r>
      <w:r>
        <w:rPr>
          <w:sz w:val="22"/>
          <w:szCs w:val="22"/>
        </w:rPr>
        <w:t xml:space="preserve"> A*, where both gradient saturation and potential </w:t>
      </w:r>
      <w:r>
        <w:rPr>
          <w:sz w:val="22"/>
          <w:szCs w:val="22"/>
        </w:rPr>
        <w:lastRenderedPageBreak/>
        <w:t xml:space="preserve">uniformity hold simultaneously, collapsing the upper and lower bounds to equality and producing the factorised law </w:t>
      </w:r>
      <w:r>
        <w:rPr>
          <w:i/>
          <w:iCs/>
          <w:sz w:val="22"/>
          <w:szCs w:val="22"/>
        </w:rPr>
        <w:t>E = ℱc²</w:t>
      </w:r>
      <w:r>
        <w:rPr>
          <w:sz w:val="22"/>
          <w:szCs w:val="22"/>
        </w:rPr>
        <w:t>. Each step is recorded as a separate result so that the logical structure of the proof is transparent.</w:t>
      </w:r>
    </w:p>
    <w:p w14:paraId="575B0F19" w14:textId="77777777" w:rsidR="004D2D6C" w:rsidRPr="00C651E7" w:rsidRDefault="00000000">
      <w:pPr>
        <w:spacing w:before="140" w:after="140" w:line="276" w:lineRule="auto"/>
        <w:ind w:left="360"/>
        <w:jc w:val="both"/>
        <w:rPr>
          <w:sz w:val="22"/>
          <w:szCs w:val="22"/>
        </w:rPr>
      </w:pPr>
      <w:r>
        <w:rPr>
          <w:b/>
          <w:bCs/>
          <w:sz w:val="22"/>
          <w:szCs w:val="22"/>
        </w:rPr>
        <w:t xml:space="preserve">Lemma 1 (Coercive upper bound).  </w:t>
      </w:r>
      <w:r>
        <w:rPr>
          <w:sz w:val="22"/>
          <w:szCs w:val="22"/>
        </w:rPr>
        <w:t xml:space="preserve">If c &lt; ∞, then for all g </w:t>
      </w:r>
      <w:r>
        <w:rPr>
          <w:rFonts w:ascii="Cambria Math" w:hAnsi="Cambria Math" w:cs="Cambria Math"/>
          <w:sz w:val="22"/>
          <w:szCs w:val="22"/>
        </w:rPr>
        <w:t>∈</w:t>
      </w:r>
      <w:r>
        <w:rPr>
          <w:sz w:val="22"/>
          <w:szCs w:val="22"/>
        </w:rPr>
        <w:t xml:space="preserve"> ġ</w:t>
      </w:r>
      <w:r>
        <w:rPr>
          <w:sz w:val="22"/>
          <w:szCs w:val="22"/>
          <w:vertAlign w:val="subscript"/>
        </w:rPr>
        <w:t>adm</w:t>
      </w:r>
      <w:r>
        <w:rPr>
          <w:sz w:val="22"/>
          <w:szCs w:val="22"/>
        </w:rPr>
        <w:t>:</w:t>
      </w:r>
    </w:p>
    <w:p w14:paraId="5B5F1476" w14:textId="77777777" w:rsidR="004D2D6C" w:rsidRPr="00C651E7" w:rsidRDefault="00000000">
      <w:pPr>
        <w:spacing w:before="120" w:after="120"/>
        <w:jc w:val="center"/>
        <w:rPr>
          <w:sz w:val="22"/>
          <w:szCs w:val="22"/>
        </w:rPr>
      </w:pPr>
      <w:r>
        <w:rPr>
          <w:i/>
          <w:iCs/>
          <w:sz w:val="22"/>
          <w:szCs w:val="22"/>
        </w:rPr>
        <w:t>∫ℳ I ‖</w:t>
      </w:r>
      <w:r>
        <w:rPr>
          <w:rFonts w:ascii="Cambria Math" w:hAnsi="Cambria Math" w:cs="Cambria Math"/>
          <w:i/>
          <w:iCs/>
          <w:sz w:val="22"/>
          <w:szCs w:val="22"/>
        </w:rPr>
        <w:t>∇</w:t>
      </w:r>
      <w:r>
        <w:rPr>
          <w:i/>
          <w:iCs/>
          <w:sz w:val="22"/>
          <w:szCs w:val="22"/>
        </w:rPr>
        <w:t>ₛ I‖² dμₛ ≤ c² ∫ℳ I dμₛ.</w:t>
      </w:r>
      <w:r>
        <w:rPr>
          <w:sz w:val="22"/>
          <w:szCs w:val="22"/>
        </w:rPr>
        <w:t xml:space="preserve">    (3)</w:t>
      </w:r>
    </w:p>
    <w:p w14:paraId="69A0DFA9" w14:textId="77777777" w:rsidR="004D2D6C" w:rsidRPr="00C651E7" w:rsidRDefault="00000000">
      <w:pPr>
        <w:spacing w:after="160" w:line="276" w:lineRule="auto"/>
        <w:jc w:val="both"/>
        <w:rPr>
          <w:sz w:val="22"/>
          <w:szCs w:val="22"/>
        </w:rPr>
      </w:pPr>
      <w:r>
        <w:rPr>
          <w:i/>
          <w:iCs/>
          <w:sz w:val="22"/>
          <w:szCs w:val="22"/>
        </w:rPr>
        <w:t>Proof.</w:t>
      </w:r>
      <w:r>
        <w:rPr>
          <w:sz w:val="22"/>
          <w:szCs w:val="22"/>
        </w:rPr>
        <w:t xml:space="preserve">  By definition, ‖</w:t>
      </w:r>
      <w:r>
        <w:rPr>
          <w:rFonts w:ascii="Cambria Math" w:hAnsi="Cambria Math" w:cs="Cambria Math"/>
          <w:sz w:val="22"/>
          <w:szCs w:val="22"/>
        </w:rPr>
        <w:t>∇</w:t>
      </w:r>
      <w:r>
        <w:rPr>
          <w:sz w:val="22"/>
          <w:szCs w:val="22"/>
          <w:vertAlign w:val="subscript"/>
        </w:rPr>
        <w:t>g</w:t>
      </w:r>
      <w:r>
        <w:rPr>
          <w:sz w:val="22"/>
          <w:szCs w:val="22"/>
        </w:rPr>
        <w:t xml:space="preserve"> I(x)‖</w:t>
      </w:r>
      <w:r>
        <w:rPr>
          <w:sz w:val="22"/>
          <w:szCs w:val="22"/>
          <w:vertAlign w:val="subscript"/>
        </w:rPr>
        <w:t>g</w:t>
      </w:r>
      <w:r>
        <w:rPr>
          <w:sz w:val="22"/>
          <w:szCs w:val="22"/>
        </w:rPr>
        <w:t xml:space="preserve"> ≤ c for μ</w:t>
      </w:r>
      <w:r>
        <w:rPr>
          <w:sz w:val="22"/>
          <w:szCs w:val="22"/>
          <w:vertAlign w:val="subscript"/>
        </w:rPr>
        <w:t>g</w:t>
      </w:r>
      <w:r>
        <w:rPr>
          <w:sz w:val="22"/>
          <w:szCs w:val="22"/>
        </w:rPr>
        <w:t xml:space="preserve">-a.e. x </w:t>
      </w:r>
      <w:r>
        <w:rPr>
          <w:rFonts w:ascii="Cambria Math" w:hAnsi="Cambria Math" w:cs="Cambria Math"/>
          <w:sz w:val="22"/>
          <w:szCs w:val="22"/>
        </w:rPr>
        <w:t>∈</w:t>
      </w:r>
      <w:r>
        <w:rPr>
          <w:sz w:val="22"/>
          <w:szCs w:val="22"/>
        </w:rPr>
        <w:t xml:space="preserve"> ℳ. Since I ≥ 0, multiplying by I and squaring the gradient bound gives I ‖</w:t>
      </w:r>
      <w:r>
        <w:rPr>
          <w:rFonts w:ascii="Cambria Math" w:hAnsi="Cambria Math" w:cs="Cambria Math"/>
          <w:sz w:val="22"/>
          <w:szCs w:val="22"/>
        </w:rPr>
        <w:t>∇</w:t>
      </w:r>
      <w:r>
        <w:rPr>
          <w:sz w:val="22"/>
          <w:szCs w:val="22"/>
          <w:vertAlign w:val="subscript"/>
        </w:rPr>
        <w:t>g</w:t>
      </w:r>
      <w:r>
        <w:rPr>
          <w:sz w:val="22"/>
          <w:szCs w:val="22"/>
        </w:rPr>
        <w:t xml:space="preserve"> I‖² ≤ c² I pointwise a.e. Integration yields the result.  □</w:t>
      </w:r>
    </w:p>
    <w:p w14:paraId="5BB14CB4" w14:textId="77777777" w:rsidR="004D2D6C" w:rsidRPr="00C651E7" w:rsidRDefault="00000000">
      <w:pPr>
        <w:spacing w:after="160" w:line="276" w:lineRule="auto"/>
        <w:jc w:val="both"/>
        <w:rPr>
          <w:sz w:val="22"/>
          <w:szCs w:val="22"/>
        </w:rPr>
      </w:pPr>
      <w:r>
        <w:rPr>
          <w:sz w:val="22"/>
          <w:szCs w:val="22"/>
        </w:rPr>
        <w:t>Lemma 1 gives an upper bound that holds everywhere on the manifold. To obtain the matching lower bound, it is necessary to focus attention on a region where the potential I is controlled from below. Lemma 2 provides this by showing that the energy integral over any region of positive measure is bounded below by the product of the essential infimum of I on that region and the gradient integral over it. Once the saturation set A* is identified, the essential infimum of I on A* will be its constant value Ī, and the gradient integral over A* will saturate at c².</w:t>
      </w:r>
    </w:p>
    <w:p w14:paraId="3BD88E53" w14:textId="77777777" w:rsidR="004D2D6C" w:rsidRPr="00C651E7" w:rsidRDefault="00000000">
      <w:pPr>
        <w:spacing w:before="140" w:after="140" w:line="276" w:lineRule="auto"/>
        <w:ind w:left="360"/>
        <w:jc w:val="both"/>
        <w:rPr>
          <w:sz w:val="22"/>
          <w:szCs w:val="22"/>
        </w:rPr>
      </w:pPr>
      <w:r>
        <w:rPr>
          <w:b/>
          <w:bCs/>
          <w:sz w:val="22"/>
          <w:szCs w:val="22"/>
        </w:rPr>
        <w:t xml:space="preserve">Lemma 2 (Lower bound via saturation sets).  </w:t>
      </w:r>
      <w:r>
        <w:rPr>
          <w:sz w:val="22"/>
          <w:szCs w:val="22"/>
        </w:rPr>
        <w:t xml:space="preserve">For any measurable A </w:t>
      </w:r>
      <w:r>
        <w:rPr>
          <w:rFonts w:ascii="Cambria Math" w:hAnsi="Cambria Math" w:cs="Cambria Math"/>
          <w:sz w:val="22"/>
          <w:szCs w:val="22"/>
        </w:rPr>
        <w:t>⊆</w:t>
      </w:r>
      <w:r>
        <w:rPr>
          <w:sz w:val="22"/>
          <w:szCs w:val="22"/>
        </w:rPr>
        <w:t xml:space="preserve"> ℳ with μ</w:t>
      </w:r>
      <w:r>
        <w:rPr>
          <w:sz w:val="22"/>
          <w:szCs w:val="22"/>
          <w:vertAlign w:val="subscript"/>
        </w:rPr>
        <w:t>g</w:t>
      </w:r>
      <w:r>
        <w:rPr>
          <w:sz w:val="22"/>
          <w:szCs w:val="22"/>
        </w:rPr>
        <w:t>(A) &gt; 0:</w:t>
      </w:r>
    </w:p>
    <w:p w14:paraId="7DD8E66F" w14:textId="77777777" w:rsidR="004D2D6C" w:rsidRPr="00C651E7" w:rsidRDefault="00000000">
      <w:pPr>
        <w:spacing w:before="120" w:after="120"/>
        <w:jc w:val="center"/>
        <w:rPr>
          <w:sz w:val="22"/>
          <w:szCs w:val="22"/>
        </w:rPr>
      </w:pPr>
      <w:r>
        <w:rPr>
          <w:i/>
          <w:iCs/>
          <w:sz w:val="22"/>
          <w:szCs w:val="22"/>
        </w:rPr>
        <w:t>∫ℳ I ‖</w:t>
      </w:r>
      <w:r>
        <w:rPr>
          <w:rFonts w:ascii="Cambria Math" w:hAnsi="Cambria Math" w:cs="Cambria Math"/>
          <w:i/>
          <w:iCs/>
          <w:sz w:val="22"/>
          <w:szCs w:val="22"/>
        </w:rPr>
        <w:t>∇</w:t>
      </w:r>
      <w:r>
        <w:rPr>
          <w:i/>
          <w:iCs/>
          <w:sz w:val="22"/>
          <w:szCs w:val="22"/>
        </w:rPr>
        <w:t>ₛ I‖² dμ ≥ (ess infₐ I) ∫ₐ ‖</w:t>
      </w:r>
      <w:r>
        <w:rPr>
          <w:rFonts w:ascii="Cambria Math" w:hAnsi="Cambria Math" w:cs="Cambria Math"/>
          <w:i/>
          <w:iCs/>
          <w:sz w:val="22"/>
          <w:szCs w:val="22"/>
        </w:rPr>
        <w:t>∇</w:t>
      </w:r>
      <w:r>
        <w:rPr>
          <w:i/>
          <w:iCs/>
          <w:sz w:val="22"/>
          <w:szCs w:val="22"/>
        </w:rPr>
        <w:t>ₛ I‖² dμ.</w:t>
      </w:r>
      <w:r>
        <w:rPr>
          <w:sz w:val="22"/>
          <w:szCs w:val="22"/>
        </w:rPr>
        <w:t xml:space="preserve">    (4)</w:t>
      </w:r>
    </w:p>
    <w:p w14:paraId="050D19D4" w14:textId="77777777" w:rsidR="004D2D6C" w:rsidRPr="00C651E7" w:rsidRDefault="00000000">
      <w:pPr>
        <w:spacing w:after="160" w:line="276" w:lineRule="auto"/>
        <w:jc w:val="both"/>
        <w:rPr>
          <w:sz w:val="22"/>
          <w:szCs w:val="22"/>
        </w:rPr>
      </w:pPr>
      <w:r>
        <w:rPr>
          <w:i/>
          <w:iCs/>
          <w:sz w:val="22"/>
          <w:szCs w:val="22"/>
        </w:rPr>
        <w:t>Proof.</w:t>
      </w:r>
      <w:r>
        <w:rPr>
          <w:sz w:val="22"/>
          <w:szCs w:val="22"/>
        </w:rPr>
        <w:t xml:space="preserve">  Since I ≥ 0 everywhere, the contribution from ℳ \ A is non-negative. On A, replacing I by its essential infimum yields the stated inequality.  □</w:t>
      </w:r>
    </w:p>
    <w:p w14:paraId="62A483E6" w14:textId="77777777" w:rsidR="004D2D6C" w:rsidRPr="00C651E7" w:rsidRDefault="00000000">
      <w:pPr>
        <w:spacing w:after="160" w:line="276" w:lineRule="auto"/>
        <w:jc w:val="both"/>
        <w:rPr>
          <w:sz w:val="22"/>
          <w:szCs w:val="22"/>
        </w:rPr>
      </w:pPr>
      <w:r>
        <w:rPr>
          <w:sz w:val="22"/>
          <w:szCs w:val="22"/>
        </w:rPr>
        <w:t>The two lemmas establish bounds that hold for any admissible metric and any measurable region of positive measure. To close the gap between upper and lower bounds and obtain equality, it is necessary to assume the existence of a region, the saturation set A*, where the manifold geometry simultaneously satisfies three conditions. These conditions are the geometric realisation of the SRP: gradient saturation corresponds to S3 (the gradient achieves its maximum value c uniformly on A*), potential uniformity corresponds to S1 (I is constant on A*, meaning the system has reached a uniform saturated state), and energy concentration corresponds to S2 (the energy outside A* is negligible, so A* carries all the structural rigidity). Under these conditions the Fundamental Law follows immediately.</w:t>
      </w:r>
    </w:p>
    <w:p w14:paraId="5C64FCFF" w14:textId="77777777" w:rsidR="004D2D6C" w:rsidRPr="00C651E7" w:rsidRDefault="00000000">
      <w:pPr>
        <w:spacing w:before="140" w:after="140" w:line="276" w:lineRule="auto"/>
        <w:ind w:left="360"/>
        <w:jc w:val="both"/>
        <w:rPr>
          <w:sz w:val="22"/>
          <w:szCs w:val="22"/>
        </w:rPr>
      </w:pPr>
      <w:r>
        <w:rPr>
          <w:b/>
          <w:bCs/>
          <w:sz w:val="22"/>
          <w:szCs w:val="22"/>
        </w:rPr>
        <w:t>Saturation Assumption.  There exist an energy-minimising g* ∈ ġadm and a measurable A* ⊆ ℳ with μg*(A*) &gt; 0 satisfying three conditions simultaneously:</w:t>
      </w:r>
    </w:p>
    <w:p w14:paraId="294AB8CD" w14:textId="77777777" w:rsidR="004D2D6C" w:rsidRPr="00C651E7" w:rsidRDefault="00000000">
      <w:pPr>
        <w:spacing w:before="100" w:after="100" w:line="276" w:lineRule="auto"/>
        <w:ind w:left="720" w:right="720"/>
        <w:jc w:val="both"/>
        <w:rPr>
          <w:sz w:val="22"/>
          <w:szCs w:val="22"/>
        </w:rPr>
      </w:pPr>
      <w:r>
        <w:rPr>
          <w:sz w:val="22"/>
          <w:szCs w:val="22"/>
        </w:rPr>
        <w:t xml:space="preserve">(i)  </w:t>
      </w:r>
      <w:r>
        <w:rPr>
          <w:b/>
          <w:bCs/>
          <w:sz w:val="22"/>
          <w:szCs w:val="22"/>
        </w:rPr>
        <w:t xml:space="preserve">Gradient saturation: </w:t>
      </w:r>
      <w:r>
        <w:rPr>
          <w:sz w:val="22"/>
          <w:szCs w:val="22"/>
        </w:rPr>
        <w:t>‖</w:t>
      </w:r>
      <w:r>
        <w:rPr>
          <w:rFonts w:ascii="Cambria Math" w:hAnsi="Cambria Math" w:cs="Cambria Math"/>
          <w:sz w:val="22"/>
          <w:szCs w:val="22"/>
        </w:rPr>
        <w:t>∇</w:t>
      </w:r>
      <w:r>
        <w:rPr>
          <w:sz w:val="22"/>
          <w:szCs w:val="22"/>
          <w:vertAlign w:val="subscript"/>
        </w:rPr>
        <w:t>g*</w:t>
      </w:r>
      <w:r>
        <w:rPr>
          <w:sz w:val="22"/>
          <w:szCs w:val="22"/>
        </w:rPr>
        <w:t xml:space="preserve"> I(x)‖</w:t>
      </w:r>
      <w:r>
        <w:rPr>
          <w:sz w:val="22"/>
          <w:szCs w:val="22"/>
          <w:vertAlign w:val="subscript"/>
        </w:rPr>
        <w:t>g*</w:t>
      </w:r>
      <w:r>
        <w:rPr>
          <w:sz w:val="22"/>
          <w:szCs w:val="22"/>
        </w:rPr>
        <w:t xml:space="preserve"> = c  for μ</w:t>
      </w:r>
      <w:r>
        <w:rPr>
          <w:sz w:val="22"/>
          <w:szCs w:val="22"/>
          <w:vertAlign w:val="subscript"/>
        </w:rPr>
        <w:t>g*</w:t>
      </w:r>
      <w:r>
        <w:rPr>
          <w:sz w:val="22"/>
          <w:szCs w:val="22"/>
        </w:rPr>
        <w:t xml:space="preserve">-a.e. x </w:t>
      </w:r>
      <w:r>
        <w:rPr>
          <w:rFonts w:ascii="Cambria Math" w:hAnsi="Cambria Math" w:cs="Cambria Math"/>
          <w:sz w:val="22"/>
          <w:szCs w:val="22"/>
        </w:rPr>
        <w:t>∈</w:t>
      </w:r>
      <w:r>
        <w:rPr>
          <w:sz w:val="22"/>
          <w:szCs w:val="22"/>
        </w:rPr>
        <w:t xml:space="preserve"> A*.</w:t>
      </w:r>
    </w:p>
    <w:p w14:paraId="32A0551C" w14:textId="77777777" w:rsidR="004D2D6C" w:rsidRPr="00C651E7" w:rsidRDefault="00000000">
      <w:pPr>
        <w:spacing w:before="100" w:after="100" w:line="276" w:lineRule="auto"/>
        <w:ind w:left="720" w:right="720"/>
        <w:jc w:val="both"/>
        <w:rPr>
          <w:sz w:val="22"/>
          <w:szCs w:val="22"/>
        </w:rPr>
      </w:pPr>
      <w:r>
        <w:rPr>
          <w:sz w:val="22"/>
          <w:szCs w:val="22"/>
        </w:rPr>
        <w:t xml:space="preserve">(ii)  </w:t>
      </w:r>
      <w:r>
        <w:rPr>
          <w:b/>
          <w:bCs/>
          <w:sz w:val="22"/>
          <w:szCs w:val="22"/>
        </w:rPr>
        <w:t xml:space="preserve">Potential uniformity: </w:t>
      </w:r>
      <w:r>
        <w:rPr>
          <w:sz w:val="22"/>
          <w:szCs w:val="22"/>
        </w:rPr>
        <w:t>I(x) = Ī (constant)  for μ</w:t>
      </w:r>
      <w:r>
        <w:rPr>
          <w:sz w:val="22"/>
          <w:szCs w:val="22"/>
          <w:vertAlign w:val="subscript"/>
        </w:rPr>
        <w:t>g*</w:t>
      </w:r>
      <w:r>
        <w:rPr>
          <w:sz w:val="22"/>
          <w:szCs w:val="22"/>
        </w:rPr>
        <w:t xml:space="preserve">-a.e. x </w:t>
      </w:r>
      <w:r>
        <w:rPr>
          <w:rFonts w:ascii="Cambria Math" w:hAnsi="Cambria Math" w:cs="Cambria Math"/>
          <w:sz w:val="22"/>
          <w:szCs w:val="22"/>
        </w:rPr>
        <w:t>∈</w:t>
      </w:r>
      <w:r>
        <w:rPr>
          <w:sz w:val="22"/>
          <w:szCs w:val="22"/>
        </w:rPr>
        <w:t xml:space="preserve"> A*.</w:t>
      </w:r>
    </w:p>
    <w:p w14:paraId="4BEDD555" w14:textId="77777777" w:rsidR="004D2D6C" w:rsidRPr="00C651E7" w:rsidRDefault="00000000">
      <w:pPr>
        <w:spacing w:before="100" w:after="100" w:line="276" w:lineRule="auto"/>
        <w:ind w:left="720" w:right="720"/>
        <w:jc w:val="both"/>
        <w:rPr>
          <w:sz w:val="22"/>
          <w:szCs w:val="22"/>
        </w:rPr>
      </w:pPr>
      <w:r>
        <w:rPr>
          <w:sz w:val="22"/>
          <w:szCs w:val="22"/>
        </w:rPr>
        <w:t xml:space="preserve">(iii)  </w:t>
      </w:r>
      <w:r>
        <w:rPr>
          <w:b/>
          <w:bCs/>
          <w:sz w:val="22"/>
          <w:szCs w:val="22"/>
        </w:rPr>
        <w:t xml:space="preserve">Energy concentration: </w:t>
      </w:r>
      <w:r>
        <w:rPr>
          <w:sz w:val="22"/>
          <w:szCs w:val="22"/>
        </w:rPr>
        <w:t>∫ℳ \ A* I ‖</w:t>
      </w:r>
      <w:r>
        <w:rPr>
          <w:rFonts w:ascii="Cambria Math" w:hAnsi="Cambria Math" w:cs="Cambria Math"/>
          <w:sz w:val="22"/>
          <w:szCs w:val="22"/>
        </w:rPr>
        <w:t>∇</w:t>
      </w:r>
      <w:r>
        <w:rPr>
          <w:sz w:val="22"/>
          <w:szCs w:val="22"/>
          <w:vertAlign w:val="subscript"/>
        </w:rPr>
        <w:t>g*</w:t>
      </w:r>
      <w:r>
        <w:rPr>
          <w:sz w:val="22"/>
          <w:szCs w:val="22"/>
        </w:rPr>
        <w:t xml:space="preserve"> I‖² dμ</w:t>
      </w:r>
      <w:r>
        <w:rPr>
          <w:sz w:val="22"/>
          <w:szCs w:val="22"/>
          <w:vertAlign w:val="subscript"/>
        </w:rPr>
        <w:t>g*</w:t>
      </w:r>
      <w:r>
        <w:rPr>
          <w:sz w:val="22"/>
          <w:szCs w:val="22"/>
        </w:rPr>
        <w:t xml:space="preserve"> = 0.</w:t>
      </w:r>
    </w:p>
    <w:p w14:paraId="7E1E06A0" w14:textId="77777777" w:rsidR="004D2D6C" w:rsidRPr="00C651E7" w:rsidRDefault="00000000">
      <w:pPr>
        <w:spacing w:after="160" w:line="276" w:lineRule="auto"/>
        <w:jc w:val="both"/>
        <w:rPr>
          <w:sz w:val="22"/>
          <w:szCs w:val="22"/>
        </w:rPr>
      </w:pPr>
      <w:r>
        <w:rPr>
          <w:sz w:val="22"/>
          <w:szCs w:val="22"/>
        </w:rPr>
        <w:t xml:space="preserve">With the Saturation Assumption in place, the Fundamental Law is a short consequence of the two lemmas. The proof shows that the upper bound from Lemma 1 and the lower bound from Lemma 2, when applied to the saturation set A*, squeeze E to exactly ℱc². The factorised form is not imposed: it emerges from the geometry of the manifold under saturation, and it is the first main result of the paper. The theorem is most accurately read as a characterisation: it identifies the precise geometric conditions under which the admissibility energy must take the factorised form </w:t>
      </w:r>
      <w:r>
        <w:rPr>
          <w:i/>
          <w:iCs/>
          <w:sz w:val="22"/>
          <w:szCs w:val="22"/>
        </w:rPr>
        <w:t>E = ℱc²</w:t>
      </w:r>
      <w:r>
        <w:rPr>
          <w:sz w:val="22"/>
          <w:szCs w:val="22"/>
        </w:rPr>
        <w:t>. It is not a dynamical derivation from initial conditions; it does not describe how a system reaches saturation, but rather a structural theorem showing what the energy must equal once saturation is achieved.</w:t>
      </w:r>
    </w:p>
    <w:p w14:paraId="60F125C7" w14:textId="77777777" w:rsidR="004D2D6C" w:rsidRPr="00C651E7" w:rsidRDefault="00000000">
      <w:pPr>
        <w:spacing w:before="140" w:after="140" w:line="276" w:lineRule="auto"/>
        <w:ind w:left="360"/>
        <w:jc w:val="both"/>
        <w:rPr>
          <w:sz w:val="22"/>
          <w:szCs w:val="22"/>
        </w:rPr>
      </w:pPr>
      <w:r>
        <w:rPr>
          <w:b/>
          <w:bCs/>
          <w:sz w:val="22"/>
          <w:szCs w:val="22"/>
        </w:rPr>
        <w:lastRenderedPageBreak/>
        <w:t xml:space="preserve">Theorem (Fundamental Law).  </w:t>
      </w:r>
      <w:r>
        <w:rPr>
          <w:sz w:val="22"/>
          <w:szCs w:val="22"/>
        </w:rPr>
        <w:t>Under the preceding assumptions:</w:t>
      </w:r>
    </w:p>
    <w:p w14:paraId="1E4334A9" w14:textId="77777777" w:rsidR="004D2D6C" w:rsidRPr="00C651E7" w:rsidRDefault="00000000">
      <w:pPr>
        <w:spacing w:before="120" w:after="120"/>
        <w:jc w:val="center"/>
        <w:rPr>
          <w:sz w:val="22"/>
          <w:szCs w:val="22"/>
        </w:rPr>
      </w:pPr>
      <w:r>
        <w:rPr>
          <w:i/>
          <w:iCs/>
          <w:sz w:val="22"/>
          <w:szCs w:val="22"/>
        </w:rPr>
        <w:t>E = ℱ c².</w:t>
      </w:r>
      <w:r>
        <w:rPr>
          <w:sz w:val="22"/>
          <w:szCs w:val="22"/>
        </w:rPr>
        <w:t xml:space="preserve">    (5)</w:t>
      </w:r>
    </w:p>
    <w:p w14:paraId="13480A6B" w14:textId="77777777" w:rsidR="00730B3C" w:rsidRDefault="00000000">
      <w:pPr>
        <w:spacing w:after="160" w:line="276" w:lineRule="auto"/>
        <w:jc w:val="both"/>
        <w:rPr>
          <w:sz w:val="22"/>
          <w:szCs w:val="22"/>
        </w:rPr>
      </w:pPr>
      <w:r>
        <w:rPr>
          <w:b/>
          <w:bCs/>
          <w:sz w:val="22"/>
          <w:szCs w:val="22"/>
        </w:rPr>
        <w:t xml:space="preserve">Plausibility of the Saturation Assumption across domains. </w:t>
      </w:r>
      <w:r>
        <w:rPr>
          <w:sz w:val="22"/>
          <w:szCs w:val="22"/>
        </w:rPr>
        <w:t>Condition (iii) (energy concentration on the saturation set A*) is a strong geometric assumption. For physical systems at R(6) closure (relativistic classical mechanics), it is well-motivated: the admissible metrics g* are those that extremise the Fisher information functional, and saturation corresponds to the classical ground state of the information manifold. For the non-physical domains catalogued in §6B (biological, cognitive, organisational, cosmological), the assumption has a different epistemic status: it characterises systems that have reached enactive equilibrium in the sense of Varela et al. (1991), where structural coupling between system and environment has stabilised. In those domains the Saturation Assumption should be read as a modelling idealisation (identifying the regime in which the coercivity law applies) rather than a derived consequence of an underlying dynamics. The question of which real-world systems satisfy or approximately satisfy this condition is an empirical one, addressed in Volume III of the FGIR Trilogy.</w:t>
      </w:r>
    </w:p>
    <w:p w14:paraId="4DC4683D" w14:textId="77777777" w:rsidR="004D2D6C" w:rsidRPr="00C651E7" w:rsidRDefault="00000000">
      <w:pPr>
        <w:spacing w:after="160" w:line="276" w:lineRule="auto"/>
        <w:jc w:val="both"/>
        <w:rPr>
          <w:sz w:val="22"/>
          <w:szCs w:val="22"/>
        </w:rPr>
      </w:pPr>
      <w:r>
        <w:rPr>
          <w:i/>
          <w:iCs/>
          <w:sz w:val="22"/>
          <w:szCs w:val="22"/>
        </w:rPr>
        <w:t>Proof.</w:t>
      </w:r>
      <w:r>
        <w:rPr>
          <w:sz w:val="22"/>
          <w:szCs w:val="22"/>
        </w:rPr>
        <w:t xml:space="preserve">  Upper bound: Lemma 1 gives E ≤ c²ℱ. Lower bound: by energy concentration, E = ∫</w:t>
      </w:r>
      <w:r>
        <w:rPr>
          <w:sz w:val="22"/>
          <w:szCs w:val="22"/>
          <w:vertAlign w:val="subscript"/>
        </w:rPr>
        <w:t>A*</w:t>
      </w:r>
      <w:r>
        <w:rPr>
          <w:sz w:val="22"/>
          <w:szCs w:val="22"/>
        </w:rPr>
        <w:t xml:space="preserve"> I ‖</w:t>
      </w:r>
      <w:r>
        <w:rPr>
          <w:rFonts w:ascii="Cambria Math" w:hAnsi="Cambria Math" w:cs="Cambria Math"/>
          <w:sz w:val="22"/>
          <w:szCs w:val="22"/>
        </w:rPr>
        <w:t>∇</w:t>
      </w:r>
      <w:r>
        <w:rPr>
          <w:sz w:val="22"/>
          <w:szCs w:val="22"/>
          <w:vertAlign w:val="subscript"/>
        </w:rPr>
        <w:t>g*</w:t>
      </w:r>
      <w:r>
        <w:rPr>
          <w:sz w:val="22"/>
          <w:szCs w:val="22"/>
        </w:rPr>
        <w:t xml:space="preserve"> I‖² dμ</w:t>
      </w:r>
      <w:r>
        <w:rPr>
          <w:sz w:val="22"/>
          <w:szCs w:val="22"/>
          <w:vertAlign w:val="subscript"/>
        </w:rPr>
        <w:t>g*</w:t>
      </w:r>
      <w:r>
        <w:rPr>
          <w:sz w:val="22"/>
          <w:szCs w:val="22"/>
        </w:rPr>
        <w:t>. Conditions (i) and (ii) give I‖</w:t>
      </w:r>
      <w:r>
        <w:rPr>
          <w:rFonts w:ascii="Cambria Math" w:hAnsi="Cambria Math" w:cs="Cambria Math"/>
          <w:sz w:val="22"/>
          <w:szCs w:val="22"/>
        </w:rPr>
        <w:t>∇</w:t>
      </w:r>
      <w:r>
        <w:rPr>
          <w:sz w:val="22"/>
          <w:szCs w:val="22"/>
        </w:rPr>
        <w:t>I‖² = Īc² on A*, so E = Īc²μ</w:t>
      </w:r>
      <w:r>
        <w:rPr>
          <w:sz w:val="22"/>
          <w:szCs w:val="22"/>
          <w:vertAlign w:val="subscript"/>
        </w:rPr>
        <w:t>g*</w:t>
      </w:r>
      <w:r>
        <w:rPr>
          <w:sz w:val="22"/>
          <w:szCs w:val="22"/>
        </w:rPr>
        <w:t>(A*) = c²ℱ.  □</w:t>
      </w:r>
    </w:p>
    <w:p w14:paraId="02DFBCF0" w14:textId="77777777" w:rsidR="004D2D6C" w:rsidRPr="00C651E7" w:rsidRDefault="00000000">
      <w:pPr>
        <w:spacing w:after="160" w:line="276" w:lineRule="auto"/>
        <w:jc w:val="both"/>
        <w:rPr>
          <w:sz w:val="22"/>
          <w:szCs w:val="22"/>
        </w:rPr>
      </w:pPr>
      <w:r>
        <w:rPr>
          <w:sz w:val="22"/>
          <w:szCs w:val="22"/>
        </w:rPr>
        <w:t>The Fundamental Law E = ℱc² follows from the proof above as a self-contained result within this paper. The result is non-circular: E is defined directly from (ℳ, I, ġadm); the factorised form emerges only from the Saturation Assumption. The underlying variational structure is consistent with the information-geometric programme of Amari and Nagaoka (2000) and with Frieden and Soffer’s (1995) variational EPI foundations and Frieden’s (2004) Fisher-information synthesis; a parallel treatment appears in Lin (2026a, in preparation), whose terminology and notation the present paper partially follows.</w:t>
      </w:r>
    </w:p>
    <w:p w14:paraId="5C5FEF52" w14:textId="77777777" w:rsidR="004D2D6C" w:rsidRPr="00C651E7" w:rsidRDefault="00000000">
      <w:pPr>
        <w:pStyle w:val="Heading1"/>
        <w:rPr>
          <w:sz w:val="22"/>
          <w:szCs w:val="22"/>
        </w:rPr>
      </w:pPr>
      <w:r>
        <w:rPr>
          <w:sz w:val="22"/>
          <w:szCs w:val="22"/>
        </w:rPr>
        <w:t xml:space="preserve">4.  Fisher-Geometric Specialisation: </w:t>
      </w:r>
      <w:r>
        <w:rPr>
          <w:i/>
          <w:iCs/>
          <w:sz w:val="22"/>
          <w:szCs w:val="22"/>
        </w:rPr>
        <w:t>E = Iₚc</w:t>
      </w:r>
      <w:r>
        <w:rPr>
          <w:sz w:val="22"/>
          <w:szCs w:val="22"/>
        </w:rPr>
        <w:t>²</w:t>
      </w:r>
    </w:p>
    <w:p w14:paraId="676CF61B" w14:textId="77777777" w:rsidR="004D2D6C" w:rsidRPr="00C651E7" w:rsidRDefault="00000000">
      <w:pPr>
        <w:pStyle w:val="Heading2"/>
        <w:rPr>
          <w:sz w:val="22"/>
          <w:szCs w:val="22"/>
        </w:rPr>
      </w:pPr>
      <w:r>
        <w:rPr>
          <w:sz w:val="22"/>
          <w:szCs w:val="22"/>
        </w:rPr>
        <w:t>4.1  The Probability Manifold as Information Manifold</w:t>
      </w:r>
    </w:p>
    <w:p w14:paraId="5A2A4811" w14:textId="77777777" w:rsidR="004D2D6C" w:rsidRPr="00C651E7" w:rsidRDefault="00000000">
      <w:pPr>
        <w:spacing w:after="160" w:line="276" w:lineRule="auto"/>
        <w:jc w:val="both"/>
        <w:rPr>
          <w:sz w:val="22"/>
          <w:szCs w:val="22"/>
        </w:rPr>
      </w:pPr>
      <w:r>
        <w:rPr>
          <w:sz w:val="22"/>
          <w:szCs w:val="22"/>
        </w:rPr>
        <w:t xml:space="preserve">The Fundamental Law </w:t>
      </w:r>
      <w:r>
        <w:rPr>
          <w:i/>
          <w:iCs/>
          <w:sz w:val="22"/>
          <w:szCs w:val="22"/>
        </w:rPr>
        <w:t>E = ℱc²</w:t>
      </w:r>
      <w:r>
        <w:rPr>
          <w:sz w:val="22"/>
          <w:szCs w:val="22"/>
        </w:rPr>
        <w:t xml:space="preserve"> holds on any information manifold satisfying the Saturation Assumption. To obtain the FGIR coercivity law </w:t>
      </w:r>
      <w:r>
        <w:rPr>
          <w:i/>
          <w:iCs/>
          <w:sz w:val="22"/>
          <w:szCs w:val="22"/>
        </w:rPr>
        <w:t>E = Iₚc²</w:t>
      </w:r>
      <w:r>
        <w:rPr>
          <w:sz w:val="22"/>
          <w:szCs w:val="22"/>
        </w:rPr>
        <w:t>, it is necessary to specify which manifold is in view: the statistical manifold of probability distributions parametrised by a smooth parameter space Θ, equipped with the Fisher–Rao metric. This is not an arbitrary choice. The Fisher–Rao metric is the unique Riemannian structure on such a manifold that is invariant under all statistically legitimate transformations, reparametrisations that do not alter the information content of the distributions. Its uniqueness, established by Chentsov (1972), means that the geometry of statistical inference selects a single metric, and that metric is the one the FGIR programme inherits. The following definitions introduce the metric and explain its connection to the defect structure required by SRP-S2.</w:t>
      </w:r>
    </w:p>
    <w:p w14:paraId="231BA159" w14:textId="77777777" w:rsidR="004D2D6C" w:rsidRPr="00C651E7" w:rsidRDefault="00000000">
      <w:pPr>
        <w:spacing w:after="160" w:line="276" w:lineRule="auto"/>
        <w:jc w:val="both"/>
        <w:rPr>
          <w:sz w:val="22"/>
          <w:szCs w:val="22"/>
        </w:rPr>
      </w:pPr>
      <w:r>
        <w:rPr>
          <w:sz w:val="22"/>
          <w:szCs w:val="22"/>
        </w:rPr>
        <w:t xml:space="preserve">Let Θ be a smooth parameter space and let {ρ(· | </w:t>
      </w:r>
      <w:r>
        <w:rPr>
          <w:i/>
          <w:iCs/>
          <w:sz w:val="22"/>
          <w:szCs w:val="22"/>
        </w:rPr>
        <w:t>θ</w:t>
      </w:r>
      <w:r>
        <w:rPr>
          <w:sz w:val="22"/>
          <w:szCs w:val="22"/>
        </w:rPr>
        <w:t xml:space="preserve">): </w:t>
      </w:r>
      <w:r>
        <w:rPr>
          <w:i/>
          <w:iCs/>
          <w:sz w:val="22"/>
          <w:szCs w:val="22"/>
        </w:rPr>
        <w:t>θ</w:t>
      </w:r>
      <w:r>
        <w:rPr>
          <w:sz w:val="22"/>
          <w:szCs w:val="22"/>
        </w:rPr>
        <w:t xml:space="preserve"> </w:t>
      </w:r>
      <w:r>
        <w:rPr>
          <w:rFonts w:ascii="Cambria Math" w:hAnsi="Cambria Math" w:cs="Cambria Math"/>
          <w:sz w:val="22"/>
          <w:szCs w:val="22"/>
        </w:rPr>
        <w:t>∈</w:t>
      </w:r>
      <w:r>
        <w:rPr>
          <w:sz w:val="22"/>
          <w:szCs w:val="22"/>
        </w:rPr>
        <w:t xml:space="preserve"> Θ} be a family of probability distributions. The statistical manifold ℳ = Θ, equipped with the Fisher–Rao metric, is the natural Riemannian structure:</w:t>
      </w:r>
    </w:p>
    <w:p w14:paraId="76099FC2" w14:textId="77777777" w:rsidR="004D2D6C" w:rsidRPr="00C651E7" w:rsidRDefault="00000000" w:rsidP="000D6671">
      <w:pPr>
        <w:spacing w:before="120" w:after="120"/>
        <w:jc w:val="right"/>
        <w:rPr>
          <w:sz w:val="22"/>
          <w:szCs w:val="22"/>
        </w:rPr>
      </w:pPr>
      <w:r>
        <w:rPr>
          <w:i/>
          <w:iCs/>
          <w:sz w:val="22"/>
          <w:szCs w:val="22"/>
        </w:rPr>
        <w:t>gᵢⱼ</w:t>
      </w:r>
      <w:r>
        <w:rPr>
          <w:sz w:val="22"/>
          <w:szCs w:val="22"/>
        </w:rPr>
        <w:t>(</w:t>
      </w:r>
      <w:r>
        <w:rPr>
          <w:i/>
          <w:iCs/>
          <w:sz w:val="22"/>
          <w:szCs w:val="22"/>
        </w:rPr>
        <w:t>θ</w:t>
      </w:r>
      <w:r>
        <w:rPr>
          <w:sz w:val="22"/>
          <w:szCs w:val="22"/>
        </w:rPr>
        <w:t>)</w:t>
      </w:r>
      <w:r>
        <w:rPr>
          <w:i/>
          <w:iCs/>
          <w:sz w:val="22"/>
          <w:szCs w:val="22"/>
        </w:rPr>
        <w:t xml:space="preserve"> = ∫ [∂ᵢ </w:t>
      </w:r>
      <w:r>
        <w:rPr>
          <w:sz w:val="22"/>
          <w:szCs w:val="22"/>
        </w:rPr>
        <w:t>log</w:t>
      </w:r>
      <w:r>
        <w:rPr>
          <w:i/>
          <w:iCs/>
          <w:sz w:val="22"/>
          <w:szCs w:val="22"/>
        </w:rPr>
        <w:t xml:space="preserve"> ρ</w:t>
      </w:r>
      <w:r>
        <w:rPr>
          <w:sz w:val="22"/>
          <w:szCs w:val="22"/>
        </w:rPr>
        <w:t>(</w:t>
      </w:r>
      <w:r>
        <w:rPr>
          <w:i/>
          <w:iCs/>
          <w:sz w:val="22"/>
          <w:szCs w:val="22"/>
        </w:rPr>
        <w:t>·|θ</w:t>
      </w:r>
      <w:r>
        <w:rPr>
          <w:sz w:val="22"/>
          <w:szCs w:val="22"/>
        </w:rPr>
        <w:t>)] [</w:t>
      </w:r>
      <w:r>
        <w:rPr>
          <w:i/>
          <w:iCs/>
          <w:sz w:val="22"/>
          <w:szCs w:val="22"/>
        </w:rPr>
        <w:t xml:space="preserve">∂ⱼ </w:t>
      </w:r>
      <w:r>
        <w:rPr>
          <w:sz w:val="22"/>
          <w:szCs w:val="22"/>
        </w:rPr>
        <w:t>log</w:t>
      </w:r>
      <w:r>
        <w:rPr>
          <w:i/>
          <w:iCs/>
          <w:sz w:val="22"/>
          <w:szCs w:val="22"/>
        </w:rPr>
        <w:t xml:space="preserve"> ρ</w:t>
      </w:r>
      <w:r>
        <w:rPr>
          <w:sz w:val="22"/>
          <w:szCs w:val="22"/>
        </w:rPr>
        <w:t>(</w:t>
      </w:r>
      <w:r>
        <w:rPr>
          <w:i/>
          <w:iCs/>
          <w:sz w:val="22"/>
          <w:szCs w:val="22"/>
        </w:rPr>
        <w:t>·|θ</w:t>
      </w:r>
      <w:r>
        <w:rPr>
          <w:sz w:val="22"/>
          <w:szCs w:val="22"/>
        </w:rPr>
        <w:t>)]</w:t>
      </w:r>
      <w:r>
        <w:rPr>
          <w:i/>
          <w:iCs/>
          <w:sz w:val="22"/>
          <w:szCs w:val="22"/>
        </w:rPr>
        <w:t xml:space="preserve"> ρ</w:t>
      </w:r>
      <w:r>
        <w:rPr>
          <w:sz w:val="22"/>
          <w:szCs w:val="22"/>
        </w:rPr>
        <w:t>(</w:t>
      </w:r>
      <w:r>
        <w:rPr>
          <w:i/>
          <w:iCs/>
          <w:sz w:val="22"/>
          <w:szCs w:val="22"/>
        </w:rPr>
        <w:t>·|θ</w:t>
      </w:r>
      <w:r>
        <w:rPr>
          <w:sz w:val="22"/>
          <w:szCs w:val="22"/>
        </w:rPr>
        <w:t>)</w:t>
      </w:r>
      <w:r>
        <w:rPr>
          <w:i/>
          <w:iCs/>
          <w:sz w:val="22"/>
          <w:szCs w:val="22"/>
        </w:rPr>
        <w:t xml:space="preserve"> dx = ∂²ψ / ∂θᵢ ∂θⱼ,</w:t>
      </w:r>
      <w:r>
        <w:rPr>
          <w:sz w:val="22"/>
          <w:szCs w:val="22"/>
        </w:rPr>
        <w:t xml:space="preserve">   </w:t>
      </w:r>
      <w:r>
        <w:rPr>
          <w:sz w:val="22"/>
          <w:szCs w:val="22"/>
        </w:rPr>
        <w:tab/>
      </w:r>
      <w:r>
        <w:rPr>
          <w:sz w:val="22"/>
          <w:szCs w:val="22"/>
        </w:rPr>
        <w:tab/>
      </w:r>
      <w:r>
        <w:rPr>
          <w:sz w:val="22"/>
          <w:szCs w:val="22"/>
        </w:rPr>
        <w:tab/>
        <w:t xml:space="preserve"> (6)</w:t>
      </w:r>
    </w:p>
    <w:p w14:paraId="6A42B9CE" w14:textId="77777777" w:rsidR="004D2D6C" w:rsidRPr="00C651E7" w:rsidRDefault="00000000">
      <w:pPr>
        <w:spacing w:after="160" w:line="276" w:lineRule="auto"/>
        <w:jc w:val="both"/>
        <w:rPr>
          <w:sz w:val="22"/>
          <w:szCs w:val="22"/>
        </w:rPr>
      </w:pPr>
      <w:r>
        <w:rPr>
          <w:sz w:val="22"/>
          <w:szCs w:val="22"/>
        </w:rPr>
        <w:t>where ψ is the convex potential. By Chentsov’s (1972) theorem — available in English translation as Cencov (1982) — this is the unique Riemannian metric (up to a positive scalar) invariant under all Markov morphisms. The connection to SRP-S2 is mediated by the Kullback–Leibler divergence:</w:t>
      </w:r>
    </w:p>
    <w:p w14:paraId="1CDEF612" w14:textId="77777777" w:rsidR="004D2D6C" w:rsidRPr="00C651E7" w:rsidRDefault="00000000" w:rsidP="000D6671">
      <w:pPr>
        <w:spacing w:before="120" w:after="120"/>
        <w:jc w:val="right"/>
        <w:rPr>
          <w:sz w:val="22"/>
          <w:szCs w:val="22"/>
        </w:rPr>
      </w:pPr>
      <w:r>
        <w:rPr>
          <w:i/>
          <w:iCs/>
          <w:sz w:val="22"/>
          <w:szCs w:val="22"/>
        </w:rPr>
        <w:lastRenderedPageBreak/>
        <w:t>Dₖₗ</w:t>
      </w:r>
      <w:r>
        <w:rPr>
          <w:sz w:val="22"/>
          <w:szCs w:val="22"/>
        </w:rPr>
        <w:t>(</w:t>
      </w:r>
      <w:r>
        <w:rPr>
          <w:i/>
          <w:iCs/>
          <w:sz w:val="22"/>
          <w:szCs w:val="22"/>
        </w:rPr>
        <w:t>ρ</w:t>
      </w:r>
      <w:r>
        <w:rPr>
          <w:sz w:val="22"/>
          <w:szCs w:val="22"/>
        </w:rPr>
        <w:t>(</w:t>
      </w:r>
      <w:r>
        <w:rPr>
          <w:i/>
          <w:iCs/>
          <w:sz w:val="22"/>
          <w:szCs w:val="22"/>
        </w:rPr>
        <w:t>·|θ</w:t>
      </w:r>
      <w:r>
        <w:rPr>
          <w:sz w:val="22"/>
          <w:szCs w:val="22"/>
        </w:rPr>
        <w:t>)</w:t>
      </w:r>
      <w:r>
        <w:rPr>
          <w:i/>
          <w:iCs/>
          <w:sz w:val="22"/>
          <w:szCs w:val="22"/>
        </w:rPr>
        <w:t xml:space="preserve"> ‖ ρ</w:t>
      </w:r>
      <w:r>
        <w:rPr>
          <w:sz w:val="22"/>
          <w:szCs w:val="22"/>
        </w:rPr>
        <w:t>(</w:t>
      </w:r>
      <w:r>
        <w:rPr>
          <w:i/>
          <w:iCs/>
          <w:sz w:val="22"/>
          <w:szCs w:val="22"/>
        </w:rPr>
        <w:t>·|θ₀</w:t>
      </w:r>
      <w:r>
        <w:rPr>
          <w:sz w:val="22"/>
          <w:szCs w:val="22"/>
        </w:rPr>
        <w:t xml:space="preserve">)) = ½ </w:t>
      </w:r>
      <w:r>
        <w:rPr>
          <w:i/>
          <w:iCs/>
          <w:sz w:val="22"/>
          <w:szCs w:val="22"/>
        </w:rPr>
        <w:t>gᵢⱼ</w:t>
      </w:r>
      <w:r>
        <w:rPr>
          <w:sz w:val="22"/>
          <w:szCs w:val="22"/>
        </w:rPr>
        <w:t>(</w:t>
      </w:r>
      <w:r>
        <w:rPr>
          <w:i/>
          <w:iCs/>
          <w:sz w:val="22"/>
          <w:szCs w:val="22"/>
        </w:rPr>
        <w:t>θ₀</w:t>
      </w:r>
      <w:r>
        <w:rPr>
          <w:sz w:val="22"/>
          <w:szCs w:val="22"/>
        </w:rPr>
        <w:t>)</w:t>
      </w:r>
      <w:r>
        <w:rPr>
          <w:i/>
          <w:iCs/>
          <w:sz w:val="22"/>
          <w:szCs w:val="22"/>
        </w:rPr>
        <w:t xml:space="preserve"> Δθᵢ Δθⱼ + O</w:t>
      </w:r>
      <w:r>
        <w:rPr>
          <w:sz w:val="22"/>
          <w:szCs w:val="22"/>
        </w:rPr>
        <w:t>(</w:t>
      </w:r>
      <w:r>
        <w:rPr>
          <w:i/>
          <w:iCs/>
          <w:sz w:val="22"/>
          <w:szCs w:val="22"/>
        </w:rPr>
        <w:t>|Δθ|³</w:t>
      </w:r>
      <w:r>
        <w:rPr>
          <w:sz w:val="22"/>
          <w:szCs w:val="22"/>
        </w:rPr>
        <w:t>)</w:t>
      </w:r>
      <w:r>
        <w:rPr>
          <w:i/>
          <w:iCs/>
          <w:sz w:val="22"/>
          <w:szCs w:val="22"/>
        </w:rPr>
        <w:t>.</w:t>
      </w:r>
      <w:r>
        <w:rPr>
          <w:sz w:val="22"/>
          <w:szCs w:val="22"/>
        </w:rPr>
        <w:t xml:space="preserve">   </w:t>
      </w:r>
      <w:r>
        <w:rPr>
          <w:sz w:val="22"/>
          <w:szCs w:val="22"/>
        </w:rPr>
        <w:tab/>
      </w:r>
      <w:r>
        <w:rPr>
          <w:sz w:val="22"/>
          <w:szCs w:val="22"/>
        </w:rPr>
        <w:tab/>
      </w:r>
      <w:r>
        <w:rPr>
          <w:sz w:val="22"/>
          <w:szCs w:val="22"/>
        </w:rPr>
        <w:tab/>
        <w:t xml:space="preserve"> (7)</w:t>
      </w:r>
    </w:p>
    <w:p w14:paraId="3092C909" w14:textId="77777777" w:rsidR="004D2D6C" w:rsidRPr="00C651E7" w:rsidRDefault="00000000">
      <w:pPr>
        <w:spacing w:after="160" w:line="276" w:lineRule="auto"/>
        <w:jc w:val="both"/>
        <w:rPr>
          <w:sz w:val="22"/>
          <w:szCs w:val="22"/>
        </w:rPr>
      </w:pPr>
      <w:r>
        <w:rPr>
          <w:sz w:val="22"/>
          <w:szCs w:val="22"/>
        </w:rPr>
        <w:t>This local quadratic expansion is the squared defect structure demanded by SRP-S2; Chentsov’s uniqueness theorem (Chentsov, 1982; Campbell, 1985; Ay et al., 2017) guarantees the Fisher–Rao metric is the only Riemannian metric on the probability simplex invariant under sufficient statistics, and hence the only metric generating this defect structure invariantly.</w:t>
      </w:r>
    </w:p>
    <w:p w14:paraId="0A373677" w14:textId="77777777" w:rsidR="004D2D6C" w:rsidRPr="00C651E7" w:rsidRDefault="00000000">
      <w:pPr>
        <w:pStyle w:val="Heading2"/>
        <w:rPr>
          <w:sz w:val="22"/>
          <w:szCs w:val="22"/>
        </w:rPr>
      </w:pPr>
      <w:r>
        <w:rPr>
          <w:sz w:val="22"/>
          <w:szCs w:val="22"/>
        </w:rPr>
        <w:t>4.2  The Ontological Embedding I → Iₚ</w:t>
      </w:r>
    </w:p>
    <w:p w14:paraId="03311EB1" w14:textId="77777777" w:rsidR="004D2D6C" w:rsidRPr="00C651E7" w:rsidRDefault="00000000">
      <w:pPr>
        <w:spacing w:after="160" w:line="276" w:lineRule="auto"/>
        <w:jc w:val="both"/>
        <w:rPr>
          <w:sz w:val="22"/>
          <w:szCs w:val="22"/>
        </w:rPr>
      </w:pPr>
      <w:r>
        <w:rPr>
          <w:sz w:val="22"/>
          <w:szCs w:val="22"/>
        </w:rPr>
        <w:t xml:space="preserve">The Fisher–Rao metric establishes that the probability manifold satisfies the geometric requirements of the Fundamental Law. The remaining step is to identify the abstract information potential I of §3 with the specific field that the FGIR programme calls </w:t>
      </w:r>
      <w:r>
        <w:rPr>
          <w:i/>
          <w:iCs/>
          <w:sz w:val="22"/>
          <w:szCs w:val="22"/>
        </w:rPr>
        <w:t>Fisher Information density</w:t>
      </w:r>
      <w:r>
        <w:rPr>
          <w:sz w:val="22"/>
          <w:szCs w:val="22"/>
        </w:rPr>
        <w:t xml:space="preserve">, denoted Iₚ. This identification has two components. The first is mathematical: showing that the Fisher Information functional on Θ is an instance of the abstract scalar field I satisfying the standing assumptions of §3.1. The second is ontological. Yolles (2025) established that within the FGIR schema the operative I-field carries a </w:t>
      </w:r>
      <w:r>
        <w:rPr>
          <w:i/>
          <w:iCs/>
          <w:sz w:val="22"/>
          <w:szCs w:val="22"/>
        </w:rPr>
        <w:t>Fisher Information Topology</w:t>
      </w:r>
      <w:r>
        <w:rPr>
          <w:sz w:val="22"/>
          <w:szCs w:val="22"/>
        </w:rPr>
        <w:t xml:space="preserve">, and performed the embedding </w:t>
      </w:r>
      <w:r>
        <w:rPr>
          <w:i/>
          <w:iCs/>
          <w:sz w:val="22"/>
          <w:szCs w:val="22"/>
        </w:rPr>
        <w:t>I</w:t>
      </w:r>
      <w:r>
        <w:rPr>
          <w:sz w:val="22"/>
          <w:szCs w:val="22"/>
        </w:rPr>
        <w:t xml:space="preserve"> → </w:t>
      </w:r>
      <w:r>
        <w:rPr>
          <w:i/>
          <w:iCs/>
          <w:sz w:val="22"/>
          <w:szCs w:val="22"/>
        </w:rPr>
        <w:t>I</w:t>
      </w:r>
      <w:r>
        <w:rPr>
          <w:sz w:val="22"/>
          <w:szCs w:val="22"/>
        </w:rPr>
        <w:t>ₚ that distinguishes the general functional from the programme-specific density parameter.</w:t>
      </w:r>
    </w:p>
    <w:p w14:paraId="0E732D44" w14:textId="77777777" w:rsidR="004D2D6C" w:rsidRPr="00C651E7" w:rsidRDefault="00000000">
      <w:pPr>
        <w:spacing w:before="140" w:after="140" w:line="276" w:lineRule="auto"/>
        <w:ind w:left="360"/>
        <w:jc w:val="both"/>
        <w:rPr>
          <w:sz w:val="22"/>
          <w:szCs w:val="22"/>
        </w:rPr>
      </w:pPr>
      <w:r>
        <w:rPr>
          <w:b/>
          <w:bCs/>
          <w:sz w:val="22"/>
          <w:szCs w:val="22"/>
        </w:rPr>
        <w:t xml:space="preserve">Mathematical identification.  </w:t>
      </w:r>
      <w:r>
        <w:rPr>
          <w:sz w:val="22"/>
          <w:szCs w:val="22"/>
        </w:rPr>
        <w:t xml:space="preserve">In §3, </w:t>
      </w:r>
      <w:r>
        <w:rPr>
          <w:i/>
          <w:iCs/>
          <w:sz w:val="22"/>
          <w:szCs w:val="22"/>
        </w:rPr>
        <w:t>I</w:t>
      </w:r>
      <w:r>
        <w:rPr>
          <w:sz w:val="22"/>
          <w:szCs w:val="22"/>
        </w:rPr>
        <w:t xml:space="preserve"> : ℳ → ℝ≥₀ is an abstract scalar field. On the statistical manifold ℳ = Θ, we define </w:t>
      </w:r>
      <w:r>
        <w:rPr>
          <w:i/>
          <w:iCs/>
          <w:sz w:val="22"/>
          <w:szCs w:val="22"/>
        </w:rPr>
        <w:t>I</w:t>
      </w:r>
      <w:r>
        <w:rPr>
          <w:sz w:val="22"/>
          <w:szCs w:val="22"/>
        </w:rPr>
        <w:t>(</w:t>
      </w:r>
      <w:r>
        <w:rPr>
          <w:i/>
          <w:iCs/>
          <w:sz w:val="22"/>
          <w:szCs w:val="22"/>
        </w:rPr>
        <w:t>θ</w:t>
      </w:r>
      <w:r>
        <w:rPr>
          <w:sz w:val="22"/>
          <w:szCs w:val="22"/>
        </w:rPr>
        <w:t>) := ∫ [</w:t>
      </w:r>
      <w:r>
        <w:rPr>
          <w:rFonts w:ascii="Cambria Math" w:hAnsi="Cambria Math" w:cs="Cambria Math"/>
          <w:sz w:val="22"/>
          <w:szCs w:val="22"/>
        </w:rPr>
        <w:t>∇</w:t>
      </w:r>
      <w:r>
        <w:rPr>
          <w:sz w:val="22"/>
          <w:szCs w:val="22"/>
        </w:rPr>
        <w:t xml:space="preserve"> log </w:t>
      </w:r>
      <w:r>
        <w:rPr>
          <w:i/>
          <w:iCs/>
          <w:sz w:val="22"/>
          <w:szCs w:val="22"/>
        </w:rPr>
        <w:t>ρ</w:t>
      </w:r>
      <w:r>
        <w:rPr>
          <w:sz w:val="22"/>
          <w:szCs w:val="22"/>
        </w:rPr>
        <w:t>(</w:t>
      </w:r>
      <w:r>
        <w:rPr>
          <w:i/>
          <w:iCs/>
          <w:sz w:val="22"/>
          <w:szCs w:val="22"/>
        </w:rPr>
        <w:t>x|θ</w:t>
      </w:r>
      <w:r>
        <w:rPr>
          <w:sz w:val="22"/>
          <w:szCs w:val="22"/>
        </w:rPr>
        <w:t xml:space="preserve">)]² </w:t>
      </w:r>
      <w:r>
        <w:rPr>
          <w:i/>
          <w:iCs/>
          <w:sz w:val="22"/>
          <w:szCs w:val="22"/>
        </w:rPr>
        <w:t>ρ</w:t>
      </w:r>
      <w:r>
        <w:rPr>
          <w:sz w:val="22"/>
          <w:szCs w:val="22"/>
        </w:rPr>
        <w:t>(</w:t>
      </w:r>
      <w:r>
        <w:rPr>
          <w:i/>
          <w:iCs/>
          <w:sz w:val="22"/>
          <w:szCs w:val="22"/>
        </w:rPr>
        <w:t>x|θ</w:t>
      </w:r>
      <w:r>
        <w:rPr>
          <w:sz w:val="22"/>
          <w:szCs w:val="22"/>
        </w:rPr>
        <w:t xml:space="preserve">) </w:t>
      </w:r>
      <w:r>
        <w:rPr>
          <w:i/>
          <w:iCs/>
          <w:sz w:val="22"/>
          <w:szCs w:val="22"/>
        </w:rPr>
        <w:t>dx</w:t>
      </w:r>
      <w:r>
        <w:rPr>
          <w:sz w:val="22"/>
          <w:szCs w:val="22"/>
        </w:rPr>
        <w:t xml:space="preserve">, the Fisher Information at </w:t>
      </w:r>
      <w:r>
        <w:rPr>
          <w:i/>
          <w:iCs/>
          <w:sz w:val="22"/>
          <w:szCs w:val="22"/>
        </w:rPr>
        <w:t>θ</w:t>
      </w:r>
      <w:r>
        <w:rPr>
          <w:sz w:val="22"/>
          <w:szCs w:val="22"/>
        </w:rPr>
        <w:t>. This is type-consistent: both I (general) and its Fisher specialisation are scalar functionals ℳ → ℝ≥₀ satisfying the standing assumptions of §3.1.</w:t>
      </w:r>
    </w:p>
    <w:p w14:paraId="739C4FB0" w14:textId="77777777" w:rsidR="004D2D6C" w:rsidRPr="00C651E7" w:rsidRDefault="00000000">
      <w:pPr>
        <w:spacing w:before="140" w:after="140" w:line="276" w:lineRule="auto"/>
        <w:ind w:left="360"/>
        <w:jc w:val="both"/>
        <w:rPr>
          <w:sz w:val="22"/>
          <w:szCs w:val="22"/>
        </w:rPr>
      </w:pPr>
      <w:r>
        <w:rPr>
          <w:b/>
          <w:bCs/>
          <w:sz w:val="22"/>
          <w:szCs w:val="22"/>
        </w:rPr>
        <w:t xml:space="preserve">Ontological embedding (Yolles, 2025).  </w:t>
      </w:r>
      <w:r>
        <w:rPr>
          <w:sz w:val="22"/>
          <w:szCs w:val="22"/>
        </w:rPr>
        <w:t xml:space="preserve">Within the FGIR ontology, the operative I-field carries a Fisher Information Topology governed by the Fisher–Rao metric. Yolles (2025) performed the ontological embedding </w:t>
      </w:r>
      <w:r>
        <w:rPr>
          <w:i/>
          <w:iCs/>
          <w:sz w:val="22"/>
          <w:szCs w:val="22"/>
        </w:rPr>
        <w:t>I</w:t>
      </w:r>
      <w:r>
        <w:rPr>
          <w:sz w:val="22"/>
          <w:szCs w:val="22"/>
        </w:rPr>
        <w:t xml:space="preserve"> → </w:t>
      </w:r>
      <w:r>
        <w:rPr>
          <w:i/>
          <w:iCs/>
          <w:sz w:val="22"/>
          <w:szCs w:val="22"/>
        </w:rPr>
        <w:t>I</w:t>
      </w:r>
      <w:r>
        <w:rPr>
          <w:sz w:val="22"/>
          <w:szCs w:val="22"/>
        </w:rPr>
        <w:t xml:space="preserve">ₚ, distinguishing the Fisher Information functional </w:t>
      </w:r>
      <w:r>
        <w:rPr>
          <w:i/>
          <w:iCs/>
          <w:sz w:val="22"/>
          <w:szCs w:val="22"/>
        </w:rPr>
        <w:t>I</w:t>
      </w:r>
      <w:r>
        <w:rPr>
          <w:sz w:val="22"/>
          <w:szCs w:val="22"/>
        </w:rPr>
        <w:t xml:space="preserve"> from the information density parameter </w:t>
      </w:r>
      <w:r>
        <w:rPr>
          <w:i/>
          <w:iCs/>
          <w:sz w:val="22"/>
          <w:szCs w:val="22"/>
        </w:rPr>
        <w:t>I</w:t>
      </w:r>
      <w:r>
        <w:rPr>
          <w:sz w:val="22"/>
          <w:szCs w:val="22"/>
        </w:rPr>
        <w:t>ₚ, an operative parameter on the source manifold M</w:t>
      </w:r>
      <w:r>
        <w:rPr>
          <w:sz w:val="22"/>
          <w:szCs w:val="22"/>
          <w:vertAlign w:val="subscript"/>
        </w:rPr>
        <w:t>I</w:t>
      </w:r>
      <w:r>
        <w:rPr>
          <w:sz w:val="22"/>
          <w:szCs w:val="22"/>
        </w:rPr>
        <w:t xml:space="preserve">. The subscript p carries an ontological commitment: it marks </w:t>
      </w:r>
      <w:r>
        <w:rPr>
          <w:i/>
          <w:iCs/>
          <w:sz w:val="22"/>
          <w:szCs w:val="22"/>
        </w:rPr>
        <w:t>I</w:t>
      </w:r>
      <w:r>
        <w:rPr>
          <w:sz w:val="22"/>
          <w:szCs w:val="22"/>
        </w:rPr>
        <w:t>ₚ as the FGIR-specific identification of the information potential within the operative field.</w:t>
      </w:r>
    </w:p>
    <w:p w14:paraId="4EA9F671" w14:textId="77777777" w:rsidR="004D2D6C" w:rsidRDefault="00000000">
      <w:pPr>
        <w:spacing w:after="160" w:line="276" w:lineRule="auto"/>
        <w:jc w:val="both"/>
        <w:rPr>
          <w:sz w:val="22"/>
          <w:szCs w:val="22"/>
        </w:rPr>
      </w:pPr>
      <w:r>
        <w:rPr>
          <w:sz w:val="22"/>
          <w:szCs w:val="22"/>
        </w:rPr>
        <w:t xml:space="preserve">The admissible geometry class restricts to Fisher–Rao metrics compatible with the implicate–explicate manifold. This manifold is lateral and field-specific: each of the four fields carries its own implicate–explicate interface (B_J, B_I, B_K for the incorporeal fields, and B_C ≡ (C_impl, C_expl) for the corporeal field), coupling that field's dispositional/potential (implicate) structure to its operative/manifest (explicate) structure internally. This lateral coupling is structurally distinct from the transverse H-manifold coupling (§1), which instead couples the incorporeal and corporeal realms across fields. The fields J, I, K, C are themselves independent: each possesses its own field-specific lateral structure (B_J, B_I, B_K, B_C) and ontological content (dispositional, operative, sustentative, corporeal respectively), and none is reducible to or constituted by the others. What is not independent is the coupling between them, and this coupling is realised by the process intelligences as three orthogonal communication channels. Autopoiesis is the J↔I channel: the mutual coupling of the dispositional and operative fields (B_J↔B_I, governed by λ = J/I), constituting a self-regenerating couple. Autogenesis is the K↔(J-I) channel: the sustentative field's communication with the J-I couple, supplying the boundary conditions/context within which the J-I couple operates, without the J-I couple being thereby dependent on K as a field. Autopraxis is the (J-I-K)↔C channel: the incorporeal triad's communication with the corporeal field, the locus of enacted practice. These three channels are orthogonal to both the transverse (H-manifold) and lateral (B-manifold) axes, and orthogonal to one another, forming a vertical communication structure rather than a hierarchy of </w:t>
      </w:r>
      <w:r>
        <w:rPr>
          <w:sz w:val="22"/>
          <w:szCs w:val="22"/>
        </w:rPr>
        <w:lastRenderedPageBreak/>
        <w:t xml:space="preserve">dependence: J, I, K remain independent fields throughout, coupled only via these channels. This three-channel structure corresponds to the R(1)–R(3) recursion hierarchy and to the fractal parity rule (2–3–2–3–2) of the FIFT Schema: autopoiesis (J↔I, a dyadic R(1)-type relation), autogenesis (K↔(J-I), a triadic R(2)-type relation), and autopraxis ((J-I-K)↔C, the R(3) fractal-seed closure of the incorporeal triad). The global coercivity constant </w:t>
      </w:r>
      <w:r>
        <w:rPr>
          <w:i/>
          <w:iCs/>
          <w:sz w:val="22"/>
          <w:szCs w:val="22"/>
        </w:rPr>
        <w:t>c</w:t>
      </w:r>
      <w:r>
        <w:rPr>
          <w:sz w:val="22"/>
          <w:szCs w:val="22"/>
        </w:rPr>
        <w:t xml:space="preserve"> = sup ‖</w:t>
      </w:r>
      <w:r>
        <w:rPr>
          <w:rFonts w:ascii="Cambria Math" w:hAnsi="Cambria Math" w:cs="Cambria Math"/>
          <w:i/>
          <w:iCs/>
          <w:sz w:val="22"/>
          <w:szCs w:val="22"/>
        </w:rPr>
        <w:t>∇</w:t>
      </w:r>
      <w:r>
        <w:rPr>
          <w:sz w:val="22"/>
          <w:szCs w:val="22"/>
          <w:vertAlign w:val="subscript"/>
        </w:rPr>
        <w:t>g</w:t>
      </w:r>
      <w:r>
        <w:rPr>
          <w:sz w:val="22"/>
          <w:szCs w:val="22"/>
        </w:rPr>
        <w:t xml:space="preserve"> </w:t>
      </w:r>
      <w:r>
        <w:rPr>
          <w:i/>
          <w:iCs/>
          <w:sz w:val="22"/>
          <w:szCs w:val="22"/>
        </w:rPr>
        <w:t>I</w:t>
      </w:r>
      <w:r>
        <w:rPr>
          <w:sz w:val="22"/>
          <w:szCs w:val="22"/>
        </w:rPr>
        <w:t>ₚ</w:t>
      </w:r>
      <w:r>
        <w:rPr>
          <w:i/>
          <w:iCs/>
          <w:sz w:val="22"/>
          <w:szCs w:val="22"/>
        </w:rPr>
        <w:t>‖</w:t>
      </w:r>
      <w:r>
        <w:rPr>
          <w:sz w:val="22"/>
          <w:szCs w:val="22"/>
          <w:vertAlign w:val="subscript"/>
        </w:rPr>
        <w:t>g</w:t>
      </w:r>
      <w:r>
        <w:rPr>
          <w:sz w:val="22"/>
          <w:szCs w:val="22"/>
        </w:rPr>
        <w:t xml:space="preserve"> measures the maximum rigidity the operative field can impose.</w:t>
      </w:r>
    </w:p>
    <w:p w14:paraId="69602F48" w14:textId="77777777" w:rsidR="00717B8F" w:rsidRPr="00162C00" w:rsidRDefault="00162C00">
      <w:pPr>
        <w:spacing w:after="160" w:line="276" w:lineRule="auto"/>
        <w:jc w:val="both"/>
        <w:rPr>
          <w:sz w:val="22"/>
          <w:szCs w:val="22"/>
        </w:rPr>
      </w:pPr>
      <w:r>
        <w:rPr>
          <w:sz w:val="22"/>
          <w:szCs w:val="22"/>
        </w:rPr>
        <w:t>Figure 1 summarises the full ontological architecture. It shows the three incorporeal fields – dispositional J, operative I, and sustentative K – and the corporeal C field. Each possesses its own lateral implicate</w:t>
      </w:r>
      <w:r>
        <w:rPr>
          <w:sz w:val="22"/>
          <w:szCs w:val="22"/>
        </w:rPr>
        <w:noBreakHyphen/>
        <w:t>explicate structure, denoted B_J, B_I, B_K, B_C respectively (the B</w:t>
      </w:r>
      <w:r>
        <w:rPr>
          <w:sz w:val="22"/>
          <w:szCs w:val="22"/>
        </w:rPr>
        <w:noBreakHyphen/>
        <w:t>manifolds). The transverse H</w:t>
      </w:r>
      <w:r>
        <w:rPr>
          <w:sz w:val="22"/>
          <w:szCs w:val="22"/>
        </w:rPr>
        <w:noBreakHyphen/>
        <w:t>manifold couples the incorporeal triad (J, I, K) to the corporeal domain. The three process intelligences – autopoiesis (J ↔ I), autogenesis (K ↔ (J</w:t>
      </w:r>
      <w:r>
        <w:rPr>
          <w:sz w:val="22"/>
          <w:szCs w:val="22"/>
        </w:rPr>
        <w:noBreakHyphen/>
        <w:t>I)), and autopraxis ((J</w:t>
      </w:r>
      <w:r>
        <w:rPr>
          <w:sz w:val="22"/>
          <w:szCs w:val="22"/>
        </w:rPr>
        <w:noBreakHyphen/>
        <w:t>I</w:t>
      </w:r>
      <w:r>
        <w:rPr>
          <w:sz w:val="22"/>
          <w:szCs w:val="22"/>
        </w:rPr>
        <w:noBreakHyphen/>
        <w:t>K) ↔ C) – are shown as orthogonal coupling channels. Crucially, all fields are in superposition, hence probabilistic (FIFT Schema P5). The coercivity law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quantifies the threshold at which the autopoietic J/I couple achieves closure, enabling the transition from a Complex Adaptive System (CAS) to a Complex Adaptive Autopoietic System (CAAS).</w:t>
      </w:r>
    </w:p>
    <w:p w14:paraId="2A02BC04" w14:textId="77777777" w:rsidR="00717B8F" w:rsidRPr="00C651E7" w:rsidRDefault="00717B8F" w:rsidP="00717B8F">
      <w:pPr>
        <w:spacing w:after="160" w:line="276" w:lineRule="auto"/>
        <w:jc w:val="center"/>
        <w:rPr>
          <w:sz w:val="22"/>
          <w:szCs w:val="22"/>
        </w:rPr>
      </w:pPr>
      <w:r>
        <w:rPr>
          <w:noProof/>
          <w:sz w:val="22"/>
          <w:szCs w:val="22"/>
        </w:rPr>
        <w:drawing>
          <wp:inline distT="0" distB="0" distL="0" distR="0" wp14:anchorId="55E3BFAC" wp14:editId="320744FE">
            <wp:extent cx="5622248" cy="4530090"/>
            <wp:effectExtent l="0" t="0" r="0" b="3810"/>
            <wp:docPr id="649093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093143" name=""/>
                    <pic:cNvPicPr/>
                  </pic:nvPicPr>
                  <pic:blipFill>
                    <a:blip r:embed="rId10"/>
                    <a:stretch>
                      <a:fillRect/>
                    </a:stretch>
                  </pic:blipFill>
                  <pic:spPr>
                    <a:xfrm>
                      <a:off x="0" y="0"/>
                      <a:ext cx="5632811" cy="4538601"/>
                    </a:xfrm>
                    <a:prstGeom prst="rect">
                      <a:avLst/>
                    </a:prstGeom>
                  </pic:spPr>
                </pic:pic>
              </a:graphicData>
            </a:graphic>
          </wp:inline>
        </w:drawing>
      </w:r>
    </w:p>
    <w:p w14:paraId="45F3BDA5" w14:textId="77777777" w:rsidR="00717B8F" w:rsidRDefault="00717B8F" w:rsidP="00717B8F">
      <w:pPr>
        <w:pStyle w:val="Heading2"/>
        <w:jc w:val="center"/>
        <w:rPr>
          <w:b w:val="0"/>
          <w:bCs w:val="0"/>
          <w:sz w:val="22"/>
          <w:szCs w:val="22"/>
        </w:rPr>
      </w:pPr>
      <w:r>
        <w:rPr>
          <w:b w:val="0"/>
          <w:bCs w:val="0"/>
          <w:sz w:val="22"/>
          <w:szCs w:val="22"/>
        </w:rPr>
        <w:t>Figure 1: FGIR Domain Ontology.</w:t>
      </w:r>
    </w:p>
    <w:p w14:paraId="32BF34C4" w14:textId="77777777" w:rsidR="00717B8F" w:rsidRPr="00717B8F" w:rsidRDefault="00717B8F" w:rsidP="00162C00">
      <w:pPr>
        <w:pStyle w:val="Heading2"/>
        <w:spacing w:before="0" w:after="160"/>
        <w:jc w:val="both"/>
        <w:rPr>
          <w:b w:val="0"/>
          <w:bCs w:val="0"/>
          <w:sz w:val="22"/>
          <w:szCs w:val="22"/>
        </w:rPr>
      </w:pPr>
      <w:r>
        <w:rPr>
          <w:b w:val="0"/>
          <w:bCs w:val="0"/>
          <w:sz w:val="22"/>
          <w:szCs w:val="22"/>
        </w:rPr>
        <w:lastRenderedPageBreak/>
        <w:t>The fields J, I, K, C are themselves independent. Each possesses its own field</w:t>
      </w:r>
      <w:r>
        <w:rPr>
          <w:b w:val="0"/>
          <w:bCs w:val="0"/>
          <w:sz w:val="22"/>
          <w:szCs w:val="22"/>
        </w:rPr>
        <w:noBreakHyphen/>
        <w:t>specific lateral structure – denoted </w:t>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J</m:t>
            </m:r>
          </m:sub>
        </m:sSub>
        <m:r>
          <m:rPr>
            <m:sty m:val="bi"/>
          </m:rPr>
          <w:rPr>
            <w:rFonts w:ascii="Cambria Math" w:hAnsi="Cambria Math"/>
            <w:sz w:val="22"/>
            <w:szCs w:val="22"/>
          </w:rPr>
          <m:t>,</m:t>
        </m:r>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K</m:t>
            </m:r>
          </m:sub>
        </m:sSub>
        <m:r>
          <m:rPr>
            <m:sty m:val="bi"/>
          </m:rPr>
          <w:rPr>
            <w:rFonts w:ascii="Cambria Math" w:hAnsi="Cambria Math"/>
            <w:sz w:val="22"/>
            <w:szCs w:val="22"/>
          </w:rPr>
          <m:t>,</m:t>
        </m:r>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C</m:t>
            </m:r>
          </m:sub>
        </m:sSub>
      </m:oMath>
      <w:r>
        <w:rPr>
          <w:b w:val="0"/>
          <w:bCs w:val="0"/>
          <w:sz w:val="22"/>
          <w:szCs w:val="22"/>
        </w:rPr>
        <w:t> respectively, and its own ontological content (dispositional, operative, sustentative, corporeal). None is reducible to or constituted by the others.</w:t>
      </w:r>
    </w:p>
    <w:p w14:paraId="6C58042A" w14:textId="77777777" w:rsidR="00717B8F" w:rsidRPr="00717B8F" w:rsidRDefault="00717B8F" w:rsidP="00162C00">
      <w:pPr>
        <w:pStyle w:val="Heading2"/>
        <w:spacing w:before="0" w:after="160"/>
        <w:jc w:val="both"/>
        <w:rPr>
          <w:b w:val="0"/>
          <w:bCs w:val="0"/>
          <w:sz w:val="22"/>
          <w:szCs w:val="22"/>
        </w:rPr>
      </w:pPr>
      <w:r>
        <w:rPr>
          <w:b w:val="0"/>
          <w:bCs w:val="0"/>
          <w:sz w:val="22"/>
          <w:szCs w:val="22"/>
        </w:rPr>
        <w:t>The B</w:t>
      </w:r>
      <w:r>
        <w:rPr>
          <w:b w:val="0"/>
          <w:bCs w:val="0"/>
          <w:sz w:val="22"/>
          <w:szCs w:val="22"/>
        </w:rPr>
        <w:noBreakHyphen/>
        <w:t>manifolds are the lateral implicate</w:t>
      </w:r>
      <w:r>
        <w:rPr>
          <w:b w:val="0"/>
          <w:bCs w:val="0"/>
          <w:sz w:val="22"/>
          <w:szCs w:val="22"/>
        </w:rPr>
        <w:noBreakHyphen/>
        <w:t>explicate interfaces within each field.</w:t>
      </w:r>
      <w:r>
        <w:rPr>
          <w:b w:val="0"/>
          <w:bCs w:val="0"/>
          <w:sz w:val="22"/>
          <w:szCs w:val="22"/>
        </w:rPr>
        <w:br/>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J</m:t>
            </m:r>
          </m:sub>
        </m:sSub>
      </m:oMath>
      <w:r>
        <w:rPr>
          <w:b w:val="0"/>
          <w:bCs w:val="0"/>
          <w:sz w:val="22"/>
          <w:szCs w:val="22"/>
        </w:rPr>
        <w:t> couples the implicate (dispositional potential) and explicate (structural trace) strata of the J</w:t>
      </w:r>
      <w:r>
        <w:rPr>
          <w:b w:val="0"/>
          <w:bCs w:val="0"/>
          <w:sz w:val="22"/>
          <w:szCs w:val="22"/>
        </w:rPr>
        <w:noBreakHyphen/>
        <w:t>field. Similarly </w:t>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I</m:t>
            </m:r>
          </m:sub>
        </m:sSub>
      </m:oMath>
      <w:r>
        <w:rPr>
          <w:b w:val="0"/>
          <w:bCs w:val="0"/>
          <w:sz w:val="22"/>
          <w:szCs w:val="22"/>
        </w:rPr>
        <w:t> for the operative I</w:t>
      </w:r>
      <w:r>
        <w:rPr>
          <w:b w:val="0"/>
          <w:bCs w:val="0"/>
          <w:sz w:val="22"/>
          <w:szCs w:val="22"/>
        </w:rPr>
        <w:noBreakHyphen/>
        <w:t xml:space="preserve">field and </w:t>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K</m:t>
            </m:r>
          </m:sub>
        </m:sSub>
      </m:oMath>
      <w:r>
        <w:rPr>
          <w:b w:val="0"/>
          <w:bCs w:val="0"/>
          <w:sz w:val="22"/>
          <w:szCs w:val="22"/>
        </w:rPr>
        <w:t> for the sustentative K</w:t>
      </w:r>
      <w:r>
        <w:rPr>
          <w:b w:val="0"/>
          <w:bCs w:val="0"/>
          <w:sz w:val="22"/>
          <w:szCs w:val="22"/>
        </w:rPr>
        <w:noBreakHyphen/>
        <w:t xml:space="preserve">field. Finally, </w:t>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C</m:t>
            </m:r>
          </m:sub>
        </m:sSub>
      </m:oMath>
      <w:r>
        <w:rPr>
          <w:b w:val="0"/>
          <w:bCs w:val="0"/>
          <w:sz w:val="22"/>
          <w:szCs w:val="22"/>
        </w:rPr>
        <w:t> for the corporeal C</w:t>
      </w:r>
      <w:r>
        <w:rPr>
          <w:b w:val="0"/>
          <w:bCs w:val="0"/>
          <w:sz w:val="22"/>
          <w:szCs w:val="22"/>
        </w:rPr>
        <w:noBreakHyphen/>
        <w:t>field (linking </w:t>
      </w:r>
      <m:oMath>
        <m:sSub>
          <m:sSubPr>
            <m:ctrlPr>
              <w:rPr>
                <w:rFonts w:ascii="Cambria Math" w:hAnsi="Cambria Math"/>
                <w:b w:val="0"/>
                <w:bCs w:val="0"/>
                <w:sz w:val="22"/>
                <w:szCs w:val="22"/>
              </w:rPr>
            </m:ctrlPr>
          </m:sSubPr>
          <m:e>
            <m:r>
              <m:rPr>
                <m:sty m:val="bi"/>
              </m:rPr>
              <w:rPr>
                <w:rFonts w:ascii="Cambria Math" w:hAnsi="Cambria Math"/>
                <w:sz w:val="22"/>
                <w:szCs w:val="22"/>
              </w:rPr>
              <m:t>C</m:t>
            </m:r>
          </m:e>
          <m:sub>
            <m:r>
              <m:rPr>
                <m:sty m:val="bi"/>
              </m:rPr>
              <w:rPr>
                <w:rFonts w:ascii="Cambria Math" w:hAnsi="Cambria Math"/>
                <w:sz w:val="22"/>
                <w:szCs w:val="22"/>
              </w:rPr>
              <m:t>impl</m:t>
            </m:r>
          </m:sub>
        </m:sSub>
      </m:oMath>
      <w:r>
        <w:rPr>
          <w:b w:val="0"/>
          <w:bCs w:val="0"/>
          <w:sz w:val="22"/>
          <w:szCs w:val="22"/>
        </w:rPr>
        <w:t> to </w:t>
      </w:r>
      <m:oMath>
        <m:sSub>
          <m:sSubPr>
            <m:ctrlPr>
              <w:rPr>
                <w:rFonts w:ascii="Cambria Math" w:hAnsi="Cambria Math"/>
                <w:b w:val="0"/>
                <w:bCs w:val="0"/>
                <w:sz w:val="22"/>
                <w:szCs w:val="22"/>
              </w:rPr>
            </m:ctrlPr>
          </m:sSubPr>
          <m:e>
            <m:r>
              <m:rPr>
                <m:sty m:val="bi"/>
              </m:rPr>
              <w:rPr>
                <w:rFonts w:ascii="Cambria Math" w:hAnsi="Cambria Math"/>
                <w:sz w:val="22"/>
                <w:szCs w:val="22"/>
              </w:rPr>
              <m:t>C</m:t>
            </m:r>
          </m:e>
          <m:sub>
            <m:r>
              <m:rPr>
                <m:sty m:val="bi"/>
              </m:rPr>
              <w:rPr>
                <w:rFonts w:ascii="Cambria Math" w:hAnsi="Cambria Math"/>
                <w:sz w:val="22"/>
                <w:szCs w:val="22"/>
              </w:rPr>
              <m:t>expl</m:t>
            </m:r>
          </m:sub>
        </m:sSub>
      </m:oMath>
      <w:r>
        <w:rPr>
          <w:b w:val="0"/>
          <w:bCs w:val="0"/>
          <w:sz w:val="22"/>
          <w:szCs w:val="22"/>
        </w:rPr>
        <w:t>). These are distinct from the transverse H</w:t>
      </w:r>
      <w:r>
        <w:rPr>
          <w:b w:val="0"/>
          <w:bCs w:val="0"/>
          <w:sz w:val="22"/>
          <w:szCs w:val="22"/>
        </w:rPr>
        <w:noBreakHyphen/>
        <w:t>manifold, which couples the incorporeal triad (J, I, K) to the corporeal C</w:t>
      </w:r>
      <w:r>
        <w:rPr>
          <w:b w:val="0"/>
          <w:bCs w:val="0"/>
          <w:sz w:val="22"/>
          <w:szCs w:val="22"/>
        </w:rPr>
        <w:noBreakHyphen/>
        <w:t>field across realms.</w:t>
      </w:r>
    </w:p>
    <w:p w14:paraId="07A4AB9C" w14:textId="77777777" w:rsidR="00717B8F" w:rsidRPr="00717B8F" w:rsidRDefault="00717B8F" w:rsidP="00162C00">
      <w:pPr>
        <w:pStyle w:val="Heading2"/>
        <w:spacing w:before="0" w:after="160"/>
        <w:jc w:val="both"/>
        <w:rPr>
          <w:b w:val="0"/>
          <w:bCs w:val="0"/>
          <w:sz w:val="22"/>
          <w:szCs w:val="22"/>
        </w:rPr>
      </w:pPr>
      <w:r>
        <w:rPr>
          <w:b w:val="0"/>
          <w:bCs w:val="0"/>
          <w:sz w:val="22"/>
          <w:szCs w:val="22"/>
        </w:rPr>
        <w:t>What is not independent is the coupling between the fields. This coupling is realised by the process intelligences, as three orthogonal communication channels. Autopoiesis provides the J ↔ I communication channel. It provides the mutual coupling of the dispositional and operative fields, mediated by the lateral structures </w:t>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J</m:t>
            </m:r>
          </m:sub>
        </m:sSub>
      </m:oMath>
      <w:r>
        <w:rPr>
          <w:b w:val="0"/>
          <w:bCs w:val="0"/>
          <w:sz w:val="22"/>
          <w:szCs w:val="22"/>
        </w:rPr>
        <w:t> and </w:t>
      </w:r>
      <m:oMath>
        <m:sSub>
          <m:sSubPr>
            <m:ctrlPr>
              <w:rPr>
                <w:rFonts w:ascii="Cambria Math" w:hAnsi="Cambria Math"/>
                <w:b w:val="0"/>
                <w:bCs w:val="0"/>
                <w:sz w:val="22"/>
                <w:szCs w:val="22"/>
              </w:rPr>
            </m:ctrlPr>
          </m:sSubPr>
          <m:e>
            <m:r>
              <m:rPr>
                <m:sty m:val="bi"/>
              </m:rPr>
              <w:rPr>
                <w:rFonts w:ascii="Cambria Math" w:hAnsi="Cambria Math"/>
                <w:sz w:val="22"/>
                <w:szCs w:val="22"/>
              </w:rPr>
              <m:t>B</m:t>
            </m:r>
          </m:e>
          <m:sub>
            <m:r>
              <m:rPr>
                <m:sty m:val="bi"/>
              </m:rPr>
              <w:rPr>
                <w:rFonts w:ascii="Cambria Math" w:hAnsi="Cambria Math"/>
                <w:sz w:val="22"/>
                <w:szCs w:val="22"/>
              </w:rPr>
              <m:t>I</m:t>
            </m:r>
          </m:sub>
        </m:sSub>
      </m:oMath>
      <w:r>
        <w:rPr>
          <w:b w:val="0"/>
          <w:bCs w:val="0"/>
          <w:sz w:val="22"/>
          <w:szCs w:val="22"/>
        </w:rPr>
        <w:t> and governed by the scalar ratio </w:t>
      </w:r>
      <m:oMath>
        <m:r>
          <m:rPr>
            <m:sty m:val="bi"/>
          </m:rPr>
          <w:rPr>
            <w:rFonts w:ascii="Cambria Math" w:hAnsi="Cambria Math"/>
            <w:sz w:val="22"/>
            <w:szCs w:val="22"/>
          </w:rPr>
          <m:t>λ=J</m:t>
        </m:r>
        <m:r>
          <m:rPr>
            <m:sty m:val="b"/>
          </m:rPr>
          <w:rPr>
            <w:rFonts w:ascii="Cambria Math" w:hAnsi="Cambria Math"/>
            <w:sz w:val="22"/>
            <w:szCs w:val="22"/>
          </w:rPr>
          <m:t>/</m:t>
        </m:r>
        <m:r>
          <m:rPr>
            <m:sty m:val="bi"/>
          </m:rPr>
          <w:rPr>
            <w:rFonts w:ascii="Cambria Math" w:hAnsi="Cambria Math"/>
            <w:sz w:val="22"/>
            <w:szCs w:val="22"/>
          </w:rPr>
          <m:t>I</m:t>
        </m:r>
      </m:oMath>
      <w:r>
        <w:rPr>
          <w:b w:val="0"/>
          <w:bCs w:val="0"/>
          <w:sz w:val="22"/>
          <w:szCs w:val="22"/>
        </w:rPr>
        <w:t>. This constitutes a self</w:t>
      </w:r>
      <w:r>
        <w:rPr>
          <w:b w:val="0"/>
          <w:bCs w:val="0"/>
          <w:sz w:val="22"/>
          <w:szCs w:val="22"/>
        </w:rPr>
        <w:noBreakHyphen/>
        <w:t>regenerating couple (the J/I couple acts as a system in its own right). Autogenesis provides the K ↔ (J</w:t>
      </w:r>
      <w:r>
        <w:rPr>
          <w:b w:val="0"/>
          <w:bCs w:val="0"/>
          <w:sz w:val="22"/>
          <w:szCs w:val="22"/>
        </w:rPr>
        <w:noBreakHyphen/>
        <w:t>I) communication channel. Here, the sustentative field communicates with the J</w:t>
      </w:r>
      <w:r>
        <w:rPr>
          <w:b w:val="0"/>
          <w:bCs w:val="0"/>
          <w:sz w:val="22"/>
          <w:szCs w:val="22"/>
        </w:rPr>
        <w:noBreakHyphen/>
        <w:t>I couple, supplying the boundary conditions and long</w:t>
      </w:r>
      <w:r>
        <w:rPr>
          <w:b w:val="0"/>
          <w:bCs w:val="0"/>
          <w:sz w:val="22"/>
          <w:szCs w:val="22"/>
        </w:rPr>
        <w:noBreakHyphen/>
        <w:t>horizon context within which the autopoietic couple operates. The J</w:t>
      </w:r>
      <w:r>
        <w:rPr>
          <w:b w:val="0"/>
          <w:bCs w:val="0"/>
          <w:sz w:val="22"/>
          <w:szCs w:val="22"/>
        </w:rPr>
        <w:noBreakHyphen/>
        <w:t>I couple remains independent as a field; autogenesis is a coupling channel, not a reduction of J or I to K. Autopraxis provides the (J</w:t>
      </w:r>
      <w:r>
        <w:rPr>
          <w:b w:val="0"/>
          <w:bCs w:val="0"/>
          <w:sz w:val="22"/>
          <w:szCs w:val="22"/>
        </w:rPr>
        <w:noBreakHyphen/>
        <w:t>I</w:t>
      </w:r>
      <w:r>
        <w:rPr>
          <w:b w:val="0"/>
          <w:bCs w:val="0"/>
          <w:sz w:val="22"/>
          <w:szCs w:val="22"/>
        </w:rPr>
        <w:noBreakHyphen/>
        <w:t>K) ↔ C channel. This is how the incorporeal triad communicates with the corporeal C</w:t>
      </w:r>
      <w:r>
        <w:rPr>
          <w:b w:val="0"/>
          <w:bCs w:val="0"/>
          <w:sz w:val="22"/>
          <w:szCs w:val="22"/>
        </w:rPr>
        <w:noBreakHyphen/>
        <w:t>field, and is the locus of enacted practice, where superposed informational potentials freeze (via the transverse H</w:t>
      </w:r>
      <w:r>
        <w:rPr>
          <w:b w:val="0"/>
          <w:bCs w:val="0"/>
          <w:sz w:val="22"/>
          <w:szCs w:val="22"/>
        </w:rPr>
        <w:noBreakHyphen/>
        <w:t>manifold) into metric</w:t>
      </w:r>
      <w:r>
        <w:rPr>
          <w:b w:val="0"/>
          <w:bCs w:val="0"/>
          <w:sz w:val="22"/>
          <w:szCs w:val="22"/>
        </w:rPr>
        <w:noBreakHyphen/>
        <w:t>bearing corporeal observables.</w:t>
      </w:r>
    </w:p>
    <w:p w14:paraId="535825F6" w14:textId="77777777" w:rsidR="00717B8F" w:rsidRPr="00717B8F" w:rsidRDefault="00717B8F" w:rsidP="00162C00">
      <w:pPr>
        <w:pStyle w:val="Heading2"/>
        <w:spacing w:before="0" w:after="160"/>
        <w:jc w:val="both"/>
        <w:rPr>
          <w:b w:val="0"/>
          <w:bCs w:val="0"/>
          <w:sz w:val="22"/>
          <w:szCs w:val="22"/>
        </w:rPr>
      </w:pPr>
      <w:r>
        <w:rPr>
          <w:b w:val="0"/>
          <w:bCs w:val="0"/>
          <w:sz w:val="22"/>
          <w:szCs w:val="22"/>
        </w:rPr>
        <w:t>These three channels are orthogonal to both the transverse (H</w:t>
      </w:r>
      <w:r>
        <w:rPr>
          <w:b w:val="0"/>
          <w:bCs w:val="0"/>
          <w:sz w:val="22"/>
          <w:szCs w:val="22"/>
        </w:rPr>
        <w:noBreakHyphen/>
        <w:t>manifold) and lateral (B</w:t>
      </w:r>
      <w:r>
        <w:rPr>
          <w:b w:val="0"/>
          <w:bCs w:val="0"/>
          <w:sz w:val="22"/>
          <w:szCs w:val="22"/>
        </w:rPr>
        <w:noBreakHyphen/>
        <w:t>manifold) axes, and orthogonal to one another, forming a vertical communication structure rather than a hierarchy of dependence. J, I, K remain independent fields throughout, coupled only via these channels. This three</w:t>
      </w:r>
      <w:r>
        <w:rPr>
          <w:b w:val="0"/>
          <w:bCs w:val="0"/>
          <w:sz w:val="22"/>
          <w:szCs w:val="22"/>
        </w:rPr>
        <w:noBreakHyphen/>
        <w:t>channel structure corresponds to the R(1)–R(3) recursion hierarchy and to the fractal parity rule (2–3–2–3–2) of the FIFT Schema: autopoiesis (dyadic, R(1)), autogenesis (triadic, R(2)), and autopraxis (the R(3) fractal</w:t>
      </w:r>
      <w:r>
        <w:rPr>
          <w:b w:val="0"/>
          <w:bCs w:val="0"/>
          <w:sz w:val="22"/>
          <w:szCs w:val="22"/>
        </w:rPr>
        <w:noBreakHyphen/>
        <w:t>seed closure of the incorporeal triad).</w:t>
      </w:r>
    </w:p>
    <w:p w14:paraId="77B5213C" w14:textId="77777777" w:rsidR="004D2D6C" w:rsidRPr="00C651E7" w:rsidRDefault="00000000">
      <w:pPr>
        <w:pStyle w:val="Heading2"/>
        <w:rPr>
          <w:sz w:val="22"/>
          <w:szCs w:val="22"/>
        </w:rPr>
      </w:pPr>
      <w:r>
        <w:rPr>
          <w:sz w:val="22"/>
          <w:szCs w:val="22"/>
        </w:rPr>
        <w:t>4.3  The Specialised Law</w:t>
      </w:r>
    </w:p>
    <w:p w14:paraId="7AC8F6F3" w14:textId="77777777" w:rsidR="004D2D6C" w:rsidRPr="00C651E7" w:rsidRDefault="00000000">
      <w:pPr>
        <w:spacing w:after="160" w:line="276" w:lineRule="auto"/>
        <w:jc w:val="both"/>
        <w:rPr>
          <w:sz w:val="22"/>
          <w:szCs w:val="22"/>
        </w:rPr>
      </w:pPr>
      <w:r>
        <w:rPr>
          <w:sz w:val="22"/>
          <w:szCs w:val="22"/>
        </w:rPr>
        <w:t xml:space="preserve">The ontological embedding </w:t>
      </w:r>
      <w:r>
        <w:rPr>
          <w:i/>
          <w:iCs/>
          <w:sz w:val="22"/>
          <w:szCs w:val="22"/>
        </w:rPr>
        <w:t>I</w:t>
      </w:r>
      <w:r>
        <w:rPr>
          <w:sz w:val="22"/>
          <w:szCs w:val="22"/>
        </w:rPr>
        <w:t xml:space="preserve"> → </w:t>
      </w:r>
      <w:r>
        <w:rPr>
          <w:i/>
          <w:iCs/>
          <w:sz w:val="22"/>
          <w:szCs w:val="22"/>
        </w:rPr>
        <w:t>I</w:t>
      </w:r>
      <w:r>
        <w:rPr>
          <w:sz w:val="22"/>
          <w:szCs w:val="22"/>
        </w:rPr>
        <w:t xml:space="preserve">ₚ carries the full mathematical apparatus of §3 into the FGIR setting. The information manifold is now the probability manifold equipped with the Fisher–Rao metric; the information potential is now the Fisher Information density </w:t>
      </w:r>
      <w:r>
        <w:rPr>
          <w:i/>
          <w:iCs/>
          <w:sz w:val="22"/>
          <w:szCs w:val="22"/>
        </w:rPr>
        <w:t>I</w:t>
      </w:r>
      <w:r>
        <w:rPr>
          <w:sz w:val="22"/>
          <w:szCs w:val="22"/>
        </w:rPr>
        <w:t xml:space="preserve">ₚ; the admissible geometry class restricts to Fisher–Rao-compatible metrics on the implicate–explicate manifold; and the global coercivity constant c measures the maximum rigidity the operative field can impose. Since </w:t>
      </w:r>
      <w:r>
        <w:rPr>
          <w:i/>
          <w:iCs/>
          <w:sz w:val="22"/>
          <w:szCs w:val="22"/>
        </w:rPr>
        <w:t>I</w:t>
      </w:r>
      <w:r>
        <w:rPr>
          <w:sz w:val="22"/>
          <w:szCs w:val="22"/>
        </w:rPr>
        <w:t xml:space="preserve">ₚ satisfies all the type and regularity conditions imposed on </w:t>
      </w:r>
      <w:r>
        <w:rPr>
          <w:i/>
          <w:iCs/>
          <w:sz w:val="22"/>
          <w:szCs w:val="22"/>
        </w:rPr>
        <w:t>I</w:t>
      </w:r>
      <w:r>
        <w:rPr>
          <w:sz w:val="22"/>
          <w:szCs w:val="22"/>
        </w:rPr>
        <w:t xml:space="preserve"> in §3.1, the Fundamental Law applies without modification, and the specialised coercivity law follows at once.</w:t>
      </w:r>
    </w:p>
    <w:p w14:paraId="0AB6C7BC" w14:textId="77777777" w:rsidR="004D2D6C" w:rsidRPr="00C651E7" w:rsidRDefault="00000000">
      <w:pPr>
        <w:spacing w:after="160" w:line="276" w:lineRule="auto"/>
        <w:jc w:val="both"/>
        <w:rPr>
          <w:sz w:val="22"/>
          <w:szCs w:val="22"/>
        </w:rPr>
      </w:pPr>
      <w:r>
        <w:rPr>
          <w:sz w:val="22"/>
          <w:szCs w:val="22"/>
        </w:rPr>
        <w:t xml:space="preserve">The identification ℱ = </w:t>
      </w:r>
      <w:r>
        <w:rPr>
          <w:i/>
          <w:iCs/>
          <w:sz w:val="22"/>
          <w:szCs w:val="22"/>
        </w:rPr>
        <w:t>I</w:t>
      </w:r>
      <w:r>
        <w:rPr>
          <w:sz w:val="22"/>
          <w:szCs w:val="22"/>
        </w:rPr>
        <w:t xml:space="preserve">ₚ is direct. By the Yolles embedding (§4.2), the information mass ℱ = ∫ℳ </w:t>
      </w:r>
      <w:r>
        <w:rPr>
          <w:i/>
          <w:iCs/>
          <w:sz w:val="22"/>
          <w:szCs w:val="22"/>
        </w:rPr>
        <w:t>I</w:t>
      </w:r>
      <w:r>
        <w:rPr>
          <w:sz w:val="22"/>
          <w:szCs w:val="22"/>
        </w:rPr>
        <w:t xml:space="preserve"> dμ</w:t>
      </w:r>
      <w:r>
        <w:rPr>
          <w:sz w:val="22"/>
          <w:szCs w:val="22"/>
          <w:vertAlign w:val="subscript"/>
        </w:rPr>
        <w:t>g*</w:t>
      </w:r>
      <w:r>
        <w:rPr>
          <w:sz w:val="22"/>
          <w:szCs w:val="22"/>
        </w:rPr>
        <w:t xml:space="preserve"> is identified with the integrated informational potential </w:t>
      </w:r>
      <w:r>
        <w:rPr>
          <w:i/>
          <w:iCs/>
          <w:sz w:val="22"/>
          <w:szCs w:val="22"/>
        </w:rPr>
        <w:t>I</w:t>
      </w:r>
      <w:r>
        <w:rPr>
          <w:sz w:val="22"/>
          <w:szCs w:val="22"/>
        </w:rPr>
        <w:t xml:space="preserve">ₚ := ∫ℳ </w:t>
      </w:r>
      <w:r>
        <w:rPr>
          <w:i/>
          <w:iCs/>
          <w:sz w:val="22"/>
          <w:szCs w:val="22"/>
        </w:rPr>
        <w:t>I</w:t>
      </w:r>
      <w:r>
        <w:rPr>
          <w:sz w:val="22"/>
          <w:szCs w:val="22"/>
        </w:rPr>
        <w:t>(</w:t>
      </w:r>
      <w:r>
        <w:rPr>
          <w:i/>
          <w:iCs/>
          <w:sz w:val="22"/>
          <w:szCs w:val="22"/>
        </w:rPr>
        <w:t>θ</w:t>
      </w:r>
      <w:r>
        <w:rPr>
          <w:sz w:val="22"/>
          <w:szCs w:val="22"/>
        </w:rPr>
        <w:t>) dμ</w:t>
      </w:r>
      <w:r>
        <w:rPr>
          <w:sz w:val="22"/>
          <w:szCs w:val="22"/>
          <w:vertAlign w:val="subscript"/>
        </w:rPr>
        <w:t>g*</w:t>
      </w:r>
      <w:r>
        <w:rPr>
          <w:sz w:val="22"/>
          <w:szCs w:val="22"/>
        </w:rPr>
        <w:t>(</w:t>
      </w:r>
      <w:r>
        <w:rPr>
          <w:i/>
          <w:iCs/>
          <w:sz w:val="22"/>
          <w:szCs w:val="22"/>
        </w:rPr>
        <w:t>θ</w:t>
      </w:r>
      <w:r>
        <w:rPr>
          <w:sz w:val="22"/>
          <w:szCs w:val="22"/>
        </w:rPr>
        <w:t>) on source manifold M</w:t>
      </w:r>
      <w:r>
        <w:rPr>
          <w:sz w:val="22"/>
          <w:szCs w:val="22"/>
          <w:vertAlign w:val="subscript"/>
        </w:rPr>
        <w:t>I</w:t>
      </w:r>
      <w:r>
        <w:rPr>
          <w:sz w:val="22"/>
          <w:szCs w:val="22"/>
        </w:rPr>
        <w:t xml:space="preserve">. ℱ and </w:t>
      </w:r>
      <w:r>
        <w:rPr>
          <w:i/>
          <w:iCs/>
          <w:sz w:val="22"/>
          <w:szCs w:val="22"/>
        </w:rPr>
        <w:t>I</w:t>
      </w:r>
      <w:r>
        <w:rPr>
          <w:sz w:val="22"/>
          <w:szCs w:val="22"/>
        </w:rPr>
        <w:t xml:space="preserve">ₚ record the same mathematical object in different ontological vocabularies: ℱ is the abstract information mass on the information manifold, whilst </w:t>
      </w:r>
      <w:r>
        <w:rPr>
          <w:i/>
          <w:iCs/>
          <w:sz w:val="22"/>
          <w:szCs w:val="22"/>
        </w:rPr>
        <w:t>I</w:t>
      </w:r>
      <w:r>
        <w:rPr>
          <w:sz w:val="22"/>
          <w:szCs w:val="22"/>
        </w:rPr>
        <w:t>ₚ is the FGIR operative parameter on M</w:t>
      </w:r>
      <w:r>
        <w:rPr>
          <w:sz w:val="22"/>
          <w:szCs w:val="22"/>
          <w:vertAlign w:val="subscript"/>
        </w:rPr>
        <w:t>I</w:t>
      </w:r>
      <w:r>
        <w:rPr>
          <w:sz w:val="22"/>
          <w:szCs w:val="22"/>
        </w:rPr>
        <w:t xml:space="preserve">. The identification ℱ = </w:t>
      </w:r>
      <w:r>
        <w:rPr>
          <w:i/>
          <w:iCs/>
          <w:sz w:val="22"/>
          <w:szCs w:val="22"/>
        </w:rPr>
        <w:t>I</w:t>
      </w:r>
      <w:r>
        <w:rPr>
          <w:sz w:val="22"/>
          <w:szCs w:val="22"/>
        </w:rPr>
        <w:t xml:space="preserve">ₚ is a consequence of the Yolles embedding, not a notational convenience. Substituting ℱ = </w:t>
      </w:r>
      <w:r>
        <w:rPr>
          <w:i/>
          <w:iCs/>
          <w:sz w:val="22"/>
          <w:szCs w:val="22"/>
        </w:rPr>
        <w:t>I</w:t>
      </w:r>
      <w:r>
        <w:rPr>
          <w:sz w:val="22"/>
          <w:szCs w:val="22"/>
        </w:rPr>
        <w:t>ₚ in the Fundamental Law gives:</w:t>
      </w:r>
    </w:p>
    <w:p w14:paraId="211929BA" w14:textId="77777777" w:rsidR="00730B3C" w:rsidRDefault="00000000">
      <w:pPr>
        <w:spacing w:after="160" w:line="276" w:lineRule="auto"/>
        <w:jc w:val="both"/>
        <w:rPr>
          <w:sz w:val="22"/>
          <w:szCs w:val="22"/>
        </w:rPr>
      </w:pPr>
      <w:r>
        <w:rPr>
          <w:sz w:val="22"/>
          <w:szCs w:val="22"/>
        </w:rPr>
        <w:t>Terminological note: throughout this section, I</w:t>
      </w:r>
      <w:r>
        <w:rPr>
          <w:sz w:val="22"/>
          <w:szCs w:val="22"/>
          <w:vertAlign w:val="subscript"/>
        </w:rPr>
        <w:t>p</w:t>
      </w:r>
      <w:r>
        <w:rPr>
          <w:sz w:val="22"/>
          <w:szCs w:val="22"/>
        </w:rPr>
        <w:t xml:space="preserve"> denotes the integrated quantity ∫ I(θ) dμg*(θ), not the pointwise density I(θ). The subscript p marks the FGIR ontological embedding (Yolles, 2025), not a change of mathematical type from integral to density. Where a pointwise density is intended, the paper writes I(θ) or I(x) explicitly.</w:t>
      </w:r>
    </w:p>
    <w:p w14:paraId="5D628169" w14:textId="77777777" w:rsidR="004D2D6C" w:rsidRPr="00C651E7" w:rsidRDefault="00000000" w:rsidP="000D6671">
      <w:pPr>
        <w:spacing w:before="120" w:after="120"/>
        <w:jc w:val="right"/>
        <w:rPr>
          <w:sz w:val="22"/>
          <w:szCs w:val="22"/>
        </w:rPr>
      </w:pPr>
      <w:r>
        <w:rPr>
          <w:i/>
          <w:iCs/>
          <w:sz w:val="22"/>
          <w:szCs w:val="22"/>
        </w:rPr>
        <w:lastRenderedPageBreak/>
        <w:t>E = Iₚ c².</w:t>
      </w: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(8)</w:t>
      </w:r>
    </w:p>
    <w:p w14:paraId="270B85DE" w14:textId="77777777" w:rsidR="004D2D6C" w:rsidRPr="00C651E7" w:rsidRDefault="00000000">
      <w:pPr>
        <w:spacing w:after="160" w:line="276" w:lineRule="auto"/>
        <w:jc w:val="both"/>
        <w:rPr>
          <w:sz w:val="22"/>
          <w:szCs w:val="22"/>
        </w:rPr>
      </w:pPr>
      <w:r>
        <w:rPr>
          <w:sz w:val="22"/>
          <w:szCs w:val="22"/>
        </w:rPr>
        <w:t xml:space="preserve">This is the </w:t>
      </w:r>
      <w:r>
        <w:rPr>
          <w:i/>
          <w:iCs/>
          <w:sz w:val="22"/>
          <w:szCs w:val="22"/>
        </w:rPr>
        <w:t xml:space="preserve">coercivity law </w:t>
      </w:r>
      <w:r>
        <w:rPr>
          <w:sz w:val="22"/>
          <w:szCs w:val="22"/>
        </w:rPr>
        <w:t xml:space="preserve">of FGIR: stabilised existence E is the product of the integrated Fisher Information Iₚ and squared coercivity </w:t>
      </w:r>
      <w:r>
        <w:rPr>
          <w:i/>
          <w:iCs/>
          <w:sz w:val="22"/>
          <w:szCs w:val="22"/>
        </w:rPr>
        <w:t>c</w:t>
      </w:r>
      <w:r>
        <w:rPr>
          <w:sz w:val="22"/>
          <w:szCs w:val="22"/>
        </w:rPr>
        <w:t>². In the FGIR reading: coercivity c² compels the dispositional informational potential (by analogy with a Hodge class in the sense of Griffiths &amp; Harris,</w:t>
      </w:r>
      <w:r>
        <w:rPr>
          <w:b/>
          <w:bCs/>
          <w:sz w:val="22"/>
          <w:szCs w:val="22"/>
        </w:rPr>
        <w:t xml:space="preserve"> </w:t>
      </w:r>
      <w:r>
        <w:rPr>
          <w:sz w:val="22"/>
          <w:szCs w:val="22"/>
        </w:rPr>
        <w:t xml:space="preserve">1978) </w:t>
      </w:r>
      <w:r>
        <w:rPr>
          <w:i/>
          <w:iCs/>
          <w:sz w:val="22"/>
          <w:szCs w:val="22"/>
        </w:rPr>
        <w:t>I</w:t>
      </w:r>
      <w:r>
        <w:rPr>
          <w:sz w:val="22"/>
          <w:szCs w:val="22"/>
        </w:rPr>
        <w:t>ₚ into an enacted algebraic cycle E.</w:t>
      </w:r>
    </w:p>
    <w:p w14:paraId="001B5EA2" w14:textId="77777777" w:rsidR="00DC4AAA" w:rsidRDefault="00000000">
      <w:pPr>
        <w:rPr>
          <w:i/>
          <w:iCs/>
          <w:sz w:val="22"/>
          <w:szCs w:val="22"/>
        </w:rPr>
      </w:pPr>
      <w:r>
        <w:rPr>
          <w:i/>
          <w:iCs/>
          <w:sz w:val="22"/>
          <w:szCs w:val="22"/>
        </w:rPr>
        <w:t>Note on the Hodge analogy. The term “dispositional Hodge class” and the citation to Griffiths and Harris (1978) are used in this paper as a structural analogy only. I₂ does not constitute a Hodge class in the technical sense of algebraic geometry (which requires an algebraic cycle on a complex projective variety with specific cohomological properties). The analogy rests on a formal parallel: just as a Hodge class is a cohomological datum that constrains which algebraic cycles can be enacted on a variety, Iᵤ is a dispositional informational density that constrains which corporeal enactments are admissible under the Saturation–Rigidity Principle. This parallel is heuristic and motivational, not a mathematical identification. No claim is made that the Hodge Conjecture or any theorem of Hodge theory applies to the FGIR framework.</w:t>
      </w:r>
    </w:p>
    <w:p w14:paraId="350A1D2E" w14:textId="77777777" w:rsidR="004D2D6C" w:rsidRPr="00C651E7" w:rsidRDefault="00000000">
      <w:pPr>
        <w:pStyle w:val="Heading1"/>
        <w:rPr>
          <w:sz w:val="22"/>
          <w:szCs w:val="22"/>
        </w:rPr>
      </w:pPr>
      <w:r>
        <w:rPr>
          <w:sz w:val="22"/>
          <w:szCs w:val="22"/>
        </w:rPr>
        <w:t xml:space="preserve">5.  The Freezing Projection: </w:t>
      </w:r>
      <w:r>
        <w:rPr>
          <w:i/>
          <w:iCs/>
          <w:sz w:val="22"/>
          <w:szCs w:val="22"/>
        </w:rPr>
        <w:t>E = I</w:t>
      </w:r>
      <w:r>
        <w:rPr>
          <w:sz w:val="22"/>
          <w:szCs w:val="22"/>
        </w:rPr>
        <w:t>ₚ</w:t>
      </w:r>
      <w:r>
        <w:rPr>
          <w:i/>
          <w:iCs/>
          <w:sz w:val="22"/>
          <w:szCs w:val="22"/>
        </w:rPr>
        <w:t>c</w:t>
      </w:r>
      <w:r>
        <w:rPr>
          <w:sz w:val="22"/>
          <w:szCs w:val="22"/>
        </w:rPr>
        <w:t xml:space="preserve">² </w:t>
      </w:r>
      <w:r>
        <w:rPr>
          <w:rFonts w:ascii="Cambria Math" w:hAnsi="Cambria Math" w:cs="Cambria Math"/>
          <w:sz w:val="22"/>
          <w:szCs w:val="22"/>
        </w:rPr>
        <w:t>⟺</w:t>
      </w:r>
      <w:r>
        <w:rPr>
          <w:sz w:val="22"/>
          <w:szCs w:val="22"/>
        </w:rPr>
        <w:t xml:space="preserve"> </w:t>
      </w:r>
      <w:r>
        <w:rPr>
          <w:i/>
          <w:iCs/>
          <w:sz w:val="22"/>
          <w:szCs w:val="22"/>
        </w:rPr>
        <w:t>Ê = m̂ĉ²</w:t>
      </w:r>
    </w:p>
    <w:p w14:paraId="600E4D9E" w14:textId="77777777" w:rsidR="004D2D6C" w:rsidRPr="00C651E7" w:rsidRDefault="00000000">
      <w:pPr>
        <w:spacing w:after="160" w:line="276" w:lineRule="auto"/>
        <w:jc w:val="both"/>
        <w:rPr>
          <w:sz w:val="22"/>
          <w:szCs w:val="22"/>
        </w:rPr>
      </w:pPr>
      <w:r>
        <w:rPr>
          <w:sz w:val="22"/>
          <w:szCs w:val="22"/>
        </w:rPr>
        <w:t xml:space="preserve">The coercivity law </w:t>
      </w:r>
      <w:r>
        <w:rPr>
          <w:i/>
          <w:iCs/>
          <w:sz w:val="22"/>
          <w:szCs w:val="22"/>
        </w:rPr>
        <w:t>E = Iₚc²</w:t>
      </w:r>
      <w:r>
        <w:rPr>
          <w:sz w:val="22"/>
          <w:szCs w:val="22"/>
        </w:rPr>
        <w:t xml:space="preserve"> has been derived in the high-dimensional informational world of the FGIR programme. Einstein’s law </w:t>
      </w:r>
      <w:r>
        <w:rPr>
          <w:i/>
          <w:iCs/>
          <w:sz w:val="22"/>
          <w:szCs w:val="22"/>
        </w:rPr>
        <w:t>E = mc²</w:t>
      </w:r>
      <w:r>
        <w:rPr>
          <w:sz w:val="22"/>
          <w:szCs w:val="22"/>
        </w:rPr>
        <w:t xml:space="preserve"> belongs to four-dimensional Lorentzian spacetime. To pass rigorously from one to the other, a map is needed that collapses the degrees of freedom of the informational world onto the four dimensions of physics whilst preserving the energy and the algebraic form of the law. This map is the </w:t>
      </w:r>
      <w:r>
        <w:rPr>
          <w:i/>
          <w:iCs/>
          <w:sz w:val="22"/>
          <w:szCs w:val="22"/>
        </w:rPr>
        <w:t>freezing projection</w:t>
      </w:r>
      <w:r>
        <w:rPr>
          <w:sz w:val="22"/>
          <w:szCs w:val="22"/>
        </w:rPr>
        <w:t xml:space="preserve"> π.</w:t>
      </w:r>
    </w:p>
    <w:p w14:paraId="1FC4A1CF" w14:textId="77777777" w:rsidR="004D2D6C" w:rsidRPr="00C651E7" w:rsidRDefault="00000000">
      <w:pPr>
        <w:pStyle w:val="Heading3"/>
        <w:rPr>
          <w:sz w:val="22"/>
          <w:szCs w:val="22"/>
        </w:rPr>
      </w:pPr>
      <w:r>
        <w:rPr>
          <w:sz w:val="22"/>
          <w:szCs w:val="22"/>
        </w:rPr>
        <w:t>Conceptual Narrative: Two-Stage Freezing</w:t>
      </w:r>
    </w:p>
    <w:p w14:paraId="55803BE5" w14:textId="77777777" w:rsidR="004D2D6C" w:rsidRPr="00C651E7" w:rsidRDefault="00000000">
      <w:pPr>
        <w:spacing w:after="160" w:line="276" w:lineRule="auto"/>
        <w:jc w:val="both"/>
        <w:rPr>
          <w:sz w:val="22"/>
          <w:szCs w:val="22"/>
        </w:rPr>
      </w:pPr>
      <w:r>
        <w:rPr>
          <w:sz w:val="22"/>
          <w:szCs w:val="22"/>
        </w:rPr>
        <w:t>Although the freezing projection is defined abstractly by the three postulates below, it is helpful to recognise two conceptually distinct steps that π compresses into a single operation.</w:t>
      </w:r>
    </w:p>
    <w:p w14:paraId="338694C9" w14:textId="77777777" w:rsidR="004D2D6C" w:rsidRPr="00C651E7" w:rsidRDefault="00000000">
      <w:pPr>
        <w:spacing w:after="160" w:line="276" w:lineRule="auto"/>
        <w:jc w:val="both"/>
        <w:rPr>
          <w:sz w:val="22"/>
          <w:szCs w:val="22"/>
        </w:rPr>
      </w:pPr>
      <w:r>
        <w:rPr>
          <w:b/>
          <w:bCs/>
          <w:sz w:val="22"/>
          <w:szCs w:val="22"/>
        </w:rPr>
        <w:t>First stage: enactment.</w:t>
      </w:r>
      <w:r>
        <w:rPr>
          <w:sz w:val="22"/>
          <w:szCs w:val="22"/>
        </w:rPr>
        <w:t xml:space="preserve">  The informational quantities </w:t>
      </w:r>
      <w:r>
        <w:rPr>
          <w:i/>
          <w:iCs/>
          <w:sz w:val="22"/>
          <w:szCs w:val="22"/>
        </w:rPr>
        <w:t>E, I</w:t>
      </w:r>
      <w:r>
        <w:rPr>
          <w:sz w:val="22"/>
          <w:szCs w:val="22"/>
        </w:rPr>
        <w:t xml:space="preserve">ₚ, and </w:t>
      </w:r>
      <w:r>
        <w:rPr>
          <w:i/>
          <w:iCs/>
          <w:sz w:val="22"/>
          <w:szCs w:val="22"/>
        </w:rPr>
        <w:t>c</w:t>
      </w:r>
      <w:r>
        <w:rPr>
          <w:sz w:val="22"/>
          <w:szCs w:val="22"/>
        </w:rPr>
        <w:t xml:space="preserve"> are derived from the incorporeal information manifold M</w:t>
      </w:r>
      <w:r>
        <w:rPr>
          <w:sz w:val="22"/>
          <w:szCs w:val="22"/>
          <w:vertAlign w:val="subscript"/>
        </w:rPr>
        <w:t>I</w:t>
      </w:r>
      <w:r>
        <w:rPr>
          <w:sz w:val="22"/>
          <w:szCs w:val="22"/>
        </w:rPr>
        <w:t xml:space="preserve"> under the Saturation–Rigidity Principle (§2–§3). E is the admissibility energy, the infimum over all admissible metrics of the enaction integral ∫I‖</w:t>
      </w:r>
      <w:r>
        <w:rPr>
          <w:rFonts w:ascii="Cambria Math" w:hAnsi="Cambria Math" w:cs="Cambria Math"/>
          <w:sz w:val="22"/>
          <w:szCs w:val="22"/>
        </w:rPr>
        <w:t>∇</w:t>
      </w:r>
      <w:r>
        <w:rPr>
          <w:sz w:val="22"/>
          <w:szCs w:val="22"/>
        </w:rPr>
        <w:t xml:space="preserve">I‖² dμ: a geometric invariant that quantifies the enactive rigidity of the information manifold and measures the geometric effort required for a dispositional informational configuration to stabilise into an enacted, persistent form. </w:t>
      </w:r>
      <w:r>
        <w:rPr>
          <w:i/>
          <w:iCs/>
          <w:sz w:val="22"/>
          <w:szCs w:val="22"/>
        </w:rPr>
        <w:t>I</w:t>
      </w:r>
      <w:r>
        <w:rPr>
          <w:sz w:val="22"/>
          <w:szCs w:val="22"/>
        </w:rPr>
        <w:t>ₚ is the integrated Fisher information density, the informational mass, which measures how sharply the operative field is peaked and plays the role that mass plays in physics. Here, c is the global coercivity constant, the supremum of ‖</w:t>
      </w:r>
      <w:r>
        <w:rPr>
          <w:rFonts w:ascii="Cambria Math" w:hAnsi="Cambria Math" w:cs="Cambria Math"/>
          <w:sz w:val="22"/>
          <w:szCs w:val="22"/>
        </w:rPr>
        <w:t>∇</w:t>
      </w:r>
      <w:r>
        <w:rPr>
          <w:sz w:val="22"/>
          <w:szCs w:val="22"/>
        </w:rPr>
        <w:t xml:space="preserve">I‖ over the manifold, and quantifies the maximum rate at which informational rigidity can propagate. When these quantities are enacted, forced into a persistent, boundary-satisfying configuration under the Saturation Assumption, they retain the algebraic relation </w:t>
      </w:r>
      <w:r>
        <w:rPr>
          <w:i/>
          <w:iCs/>
          <w:sz w:val="22"/>
          <w:szCs w:val="22"/>
        </w:rPr>
        <w:t>E = Iₚc²</w:t>
      </w:r>
      <w:r>
        <w:rPr>
          <w:sz w:val="22"/>
          <w:szCs w:val="22"/>
        </w:rPr>
        <w:t>.</w:t>
      </w:r>
    </w:p>
    <w:p w14:paraId="4D06BFA1" w14:textId="77777777" w:rsidR="004D2D6C" w:rsidRPr="00C651E7" w:rsidRDefault="00000000">
      <w:pPr>
        <w:spacing w:after="160" w:line="276" w:lineRule="auto"/>
        <w:jc w:val="both"/>
        <w:rPr>
          <w:sz w:val="22"/>
          <w:szCs w:val="22"/>
        </w:rPr>
      </w:pPr>
      <w:r>
        <w:rPr>
          <w:b/>
          <w:bCs/>
          <w:sz w:val="22"/>
          <w:szCs w:val="22"/>
        </w:rPr>
        <w:t>Second stage: orporealization (transition to corporeal status).</w:t>
      </w:r>
      <w:r>
        <w:rPr>
          <w:sz w:val="22"/>
          <w:szCs w:val="22"/>
        </w:rPr>
        <w:t xml:space="preserve">  Under the freezing postulates stated below, the enacted quantities are embedded into the corporeal implicate field C</w:t>
      </w:r>
      <w:r>
        <w:rPr>
          <w:sz w:val="22"/>
          <w:szCs w:val="22"/>
          <w:vertAlign w:val="subscript"/>
        </w:rPr>
        <w:t>impl</w:t>
      </w:r>
      <w:r>
        <w:rPr>
          <w:sz w:val="22"/>
          <w:szCs w:val="22"/>
        </w:rPr>
        <w:t>. Postulate F1 reduces the high-dimensional informational residence to a four-dimensional Lorentzian manifold. Postulate F2 identifies the enacted Fisher density Iₚ with inertial rest mass m̂ (via the Tensor–Rigidity Correspondence) and identifies the enacted coercivity constant c with the invariant signal speed ĉ (via the iota-convergence argument under R(6) closure, Axiom B3). Postulate F3 preserves the energy.</w:t>
      </w:r>
    </w:p>
    <w:p w14:paraId="16F270D0" w14:textId="77777777" w:rsidR="004D2D6C" w:rsidRPr="00C651E7" w:rsidRDefault="00000000">
      <w:pPr>
        <w:spacing w:after="160" w:line="276" w:lineRule="auto"/>
        <w:jc w:val="both"/>
        <w:rPr>
          <w:sz w:val="22"/>
          <w:szCs w:val="22"/>
        </w:rPr>
      </w:pPr>
      <w:r>
        <w:rPr>
          <w:sz w:val="22"/>
          <w:szCs w:val="22"/>
        </w:rPr>
        <w:lastRenderedPageBreak/>
        <w:t xml:space="preserve">Because the full freezing map π combines enactment and </w:t>
      </w:r>
      <w:r>
        <w:rPr>
          <w:sz w:val="22"/>
          <w:szCs w:val="22"/>
        </w:rPr>
        <w:pgNum/>
      </w:r>
      <w:r>
        <w:rPr>
          <w:sz w:val="22"/>
          <w:szCs w:val="22"/>
        </w:rPr>
        <w:t>orporealization (transition to corporeal status) into a single operation, the conditional equivalence</w:t>
      </w:r>
    </w:p>
    <w:p w14:paraId="6DDE8F8F" w14:textId="77777777" w:rsidR="004D2D6C" w:rsidRPr="00C651E7" w:rsidRDefault="00000000" w:rsidP="000D6671">
      <w:pPr>
        <w:spacing w:before="120" w:after="120"/>
        <w:jc w:val="right"/>
        <w:rPr>
          <w:sz w:val="22"/>
          <w:szCs w:val="22"/>
        </w:rPr>
      </w:pPr>
      <w:r>
        <w:rPr>
          <w:i/>
          <w:iCs/>
          <w:sz w:val="22"/>
          <w:szCs w:val="22"/>
        </w:rPr>
        <w:t xml:space="preserve">E = Iₚc²  </w:t>
      </w:r>
      <w:r>
        <w:rPr>
          <w:rFonts w:ascii="Cambria Math" w:hAnsi="Cambria Math" w:cs="Cambria Math"/>
          <w:i/>
          <w:iCs/>
          <w:sz w:val="22"/>
          <w:szCs w:val="22"/>
        </w:rPr>
        <w:t>⟺</w:t>
      </w:r>
      <w:r>
        <w:rPr>
          <w:i/>
          <w:iCs/>
          <w:sz w:val="22"/>
          <w:szCs w:val="22"/>
        </w:rPr>
        <w:t xml:space="preserve">  Ê = m̂ĉ²</w:t>
      </w: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t xml:space="preserve"> (9)</w:t>
      </w:r>
    </w:p>
    <w:p w14:paraId="0E366367" w14:textId="77777777" w:rsidR="004D2D6C" w:rsidRPr="00C651E7" w:rsidRDefault="00000000">
      <w:pPr>
        <w:spacing w:after="160" w:line="276" w:lineRule="auto"/>
        <w:jc w:val="both"/>
        <w:rPr>
          <w:sz w:val="22"/>
          <w:szCs w:val="22"/>
        </w:rPr>
      </w:pPr>
      <w:r>
        <w:rPr>
          <w:sz w:val="22"/>
          <w:szCs w:val="22"/>
        </w:rPr>
        <w:t>follows directly from the axioms below, as proved in T-BRIDGE (§6A).</w:t>
      </w:r>
    </w:p>
    <w:p w14:paraId="57902309" w14:textId="77777777" w:rsidR="004D2D6C" w:rsidRPr="00C651E7" w:rsidRDefault="00000000">
      <w:pPr>
        <w:pStyle w:val="Heading3"/>
        <w:rPr>
          <w:sz w:val="22"/>
          <w:szCs w:val="22"/>
        </w:rPr>
      </w:pPr>
      <w:r>
        <w:rPr>
          <w:sz w:val="22"/>
          <w:szCs w:val="22"/>
        </w:rPr>
        <w:t>Definition of the Freezing Map</w:t>
      </w:r>
    </w:p>
    <w:p w14:paraId="4F9CE816" w14:textId="77777777" w:rsidR="004D2D6C" w:rsidRPr="00C651E7" w:rsidRDefault="00000000">
      <w:pPr>
        <w:spacing w:before="140" w:after="140" w:line="276" w:lineRule="auto"/>
        <w:ind w:left="360"/>
        <w:jc w:val="both"/>
        <w:rPr>
          <w:sz w:val="22"/>
          <w:szCs w:val="22"/>
        </w:rPr>
      </w:pPr>
      <w:r>
        <w:rPr>
          <w:b/>
          <w:bCs/>
          <w:sz w:val="22"/>
          <w:szCs w:val="22"/>
        </w:rPr>
        <w:t xml:space="preserve">Definition (Freezing map).  </w:t>
      </w:r>
      <w:r>
        <w:rPr>
          <w:sz w:val="22"/>
          <w:szCs w:val="22"/>
        </w:rPr>
        <w:t>A freezing map π : (ℳ, Iₚ, c) → (m̂, ĉ) satisfies three postulates:</w:t>
      </w:r>
    </w:p>
    <w:p w14:paraId="51806956" w14:textId="77777777" w:rsidR="004D2D6C" w:rsidRPr="00C651E7" w:rsidRDefault="00000000">
      <w:pPr>
        <w:spacing w:before="100" w:after="100" w:line="276" w:lineRule="auto"/>
        <w:ind w:left="720" w:right="720"/>
        <w:jc w:val="both"/>
        <w:rPr>
          <w:sz w:val="22"/>
          <w:szCs w:val="22"/>
        </w:rPr>
      </w:pPr>
      <w:r>
        <w:rPr>
          <w:b/>
          <w:bCs/>
          <w:sz w:val="22"/>
          <w:szCs w:val="22"/>
        </w:rPr>
        <w:t xml:space="preserve">(F1) Dimensional reduction: </w:t>
      </w:r>
      <w:r>
        <w:rPr>
          <w:sz w:val="22"/>
          <w:szCs w:val="22"/>
        </w:rPr>
        <w:t>π reduces the degrees of freedom to a four-dimensional Lorentzian manifold.</w:t>
      </w:r>
    </w:p>
    <w:p w14:paraId="4655DDCF" w14:textId="77777777" w:rsidR="004D2D6C" w:rsidRPr="00C651E7" w:rsidRDefault="00000000">
      <w:pPr>
        <w:spacing w:before="100" w:after="100" w:line="276" w:lineRule="auto"/>
        <w:ind w:left="720" w:right="720"/>
        <w:jc w:val="both"/>
        <w:rPr>
          <w:sz w:val="22"/>
          <w:szCs w:val="22"/>
        </w:rPr>
      </w:pPr>
      <w:r>
        <w:rPr>
          <w:b/>
          <w:bCs/>
          <w:sz w:val="22"/>
          <w:szCs w:val="22"/>
        </w:rPr>
        <w:t xml:space="preserve">(F2) Constitutional identification: </w:t>
      </w:r>
      <w:r>
        <w:rPr>
          <w:sz w:val="22"/>
          <w:szCs w:val="22"/>
        </w:rPr>
        <w:t>π(</w:t>
      </w:r>
      <w:r>
        <w:rPr>
          <w:i/>
          <w:iCs/>
          <w:sz w:val="22"/>
          <w:szCs w:val="22"/>
        </w:rPr>
        <w:t>I</w:t>
      </w:r>
      <w:r>
        <w:rPr>
          <w:sz w:val="22"/>
          <w:szCs w:val="22"/>
        </w:rPr>
        <w:t xml:space="preserve">ₚ) = m̂ (constitutional persistence condenses as rest mass); π(c) = </w:t>
      </w:r>
      <w:r>
        <w:rPr>
          <w:i/>
          <w:iCs/>
          <w:sz w:val="22"/>
          <w:szCs w:val="22"/>
        </w:rPr>
        <w:t>ĉ</w:t>
      </w:r>
      <w:r>
        <w:rPr>
          <w:sz w:val="22"/>
          <w:szCs w:val="22"/>
        </w:rPr>
        <w:t xml:space="preserve"> (coherence conductance freezes as the invariant signal speed; </w:t>
      </w:r>
      <w:r>
        <w:rPr>
          <w:i/>
          <w:iCs/>
          <w:sz w:val="22"/>
          <w:szCs w:val="22"/>
        </w:rPr>
        <w:t>ĉ = c</w:t>
      </w:r>
      <w:r>
        <w:rPr>
          <w:sz w:val="22"/>
          <w:szCs w:val="22"/>
        </w:rPr>
        <w:t xml:space="preserve"> within the corporeal field C</w:t>
      </w:r>
      <w:r>
        <w:rPr>
          <w:sz w:val="22"/>
          <w:szCs w:val="22"/>
          <w:vertAlign w:val="subscript"/>
        </w:rPr>
        <w:t>impl</w:t>
      </w:r>
      <w:r>
        <w:rPr>
          <w:sz w:val="22"/>
          <w:szCs w:val="22"/>
        </w:rPr>
        <w:t>).</w:t>
      </w:r>
    </w:p>
    <w:p w14:paraId="672B38AC" w14:textId="77777777" w:rsidR="004D2D6C" w:rsidRPr="00C651E7" w:rsidRDefault="00000000">
      <w:pPr>
        <w:spacing w:before="100" w:after="100" w:line="276" w:lineRule="auto"/>
        <w:ind w:left="720" w:right="720"/>
        <w:jc w:val="both"/>
        <w:rPr>
          <w:sz w:val="22"/>
          <w:szCs w:val="22"/>
        </w:rPr>
      </w:pPr>
      <w:r>
        <w:rPr>
          <w:b/>
          <w:bCs/>
          <w:sz w:val="22"/>
          <w:szCs w:val="22"/>
        </w:rPr>
        <w:t xml:space="preserve">(F3) Energy preservation: </w:t>
      </w:r>
      <w:r>
        <w:rPr>
          <w:sz w:val="22"/>
          <w:szCs w:val="22"/>
        </w:rPr>
        <w:t>π(E) = Ê (the numerical value of the enaction integral is preserved under freezing; the ontological type changes from generic to metric-bearing upon residence in C</w:t>
      </w:r>
      <w:r>
        <w:rPr>
          <w:sz w:val="22"/>
          <w:szCs w:val="22"/>
          <w:vertAlign w:val="subscript"/>
        </w:rPr>
        <w:t>impl</w:t>
      </w:r>
      <w:r>
        <w:rPr>
          <w:sz w:val="22"/>
          <w:szCs w:val="22"/>
        </w:rPr>
        <w:t>).</w:t>
      </w:r>
    </w:p>
    <w:p w14:paraId="0029FC99" w14:textId="77777777" w:rsidR="004D2D6C" w:rsidRPr="00C651E7" w:rsidRDefault="00000000">
      <w:pPr>
        <w:spacing w:before="140" w:after="140" w:line="276" w:lineRule="auto"/>
        <w:ind w:left="360"/>
        <w:jc w:val="both"/>
        <w:rPr>
          <w:sz w:val="22"/>
          <w:szCs w:val="22"/>
        </w:rPr>
      </w:pPr>
      <w:r>
        <w:rPr>
          <w:b/>
          <w:bCs/>
          <w:sz w:val="22"/>
          <w:szCs w:val="22"/>
        </w:rPr>
        <w:t xml:space="preserve">Theorem (Two-Stage Freezing Correspondence).  Under π, </w:t>
      </w:r>
      <w:r>
        <w:rPr>
          <w:b/>
          <w:bCs/>
          <w:i/>
          <w:iCs/>
          <w:sz w:val="22"/>
          <w:szCs w:val="22"/>
        </w:rPr>
        <w:t>I</w:t>
      </w:r>
      <w:r>
        <w:rPr>
          <w:b/>
          <w:bCs/>
          <w:sz w:val="22"/>
          <w:szCs w:val="22"/>
        </w:rPr>
        <w:t xml:space="preserve">ₚ condenses into rest mass m̂ (F2); </w:t>
      </w:r>
      <w:r>
        <w:rPr>
          <w:b/>
          <w:bCs/>
          <w:i/>
          <w:iCs/>
          <w:sz w:val="22"/>
          <w:szCs w:val="22"/>
        </w:rPr>
        <w:t>c</w:t>
      </w:r>
      <w:r>
        <w:rPr>
          <w:b/>
          <w:bCs/>
          <w:sz w:val="22"/>
          <w:szCs w:val="22"/>
        </w:rPr>
        <w:t xml:space="preserve"> collapses into </w:t>
      </w:r>
      <w:r>
        <w:rPr>
          <w:b/>
          <w:bCs/>
          <w:i/>
          <w:iCs/>
          <w:sz w:val="22"/>
          <w:szCs w:val="22"/>
        </w:rPr>
        <w:t>ĉ</w:t>
      </w:r>
      <w:r>
        <w:rPr>
          <w:b/>
          <w:bCs/>
          <w:sz w:val="22"/>
          <w:szCs w:val="22"/>
        </w:rPr>
        <w:t xml:space="preserve"> (F2). Since π preserves energy:</w:t>
      </w:r>
    </w:p>
    <w:p w14:paraId="65CC3273" w14:textId="77777777" w:rsidR="004D2D6C" w:rsidRPr="00C651E7" w:rsidRDefault="000D6671" w:rsidP="000D6671">
      <w:pPr>
        <w:spacing w:before="120" w:after="120"/>
        <w:jc w:val="right"/>
        <w:rPr>
          <w:sz w:val="22"/>
          <w:szCs w:val="22"/>
        </w:rPr>
      </w:pPr>
      <w:r>
        <w:rPr>
          <w:i/>
          <w:iCs/>
          <w:sz w:val="22"/>
          <w:szCs w:val="22"/>
        </w:rPr>
        <w:t>Π</w:t>
      </w:r>
      <w:r>
        <w:rPr>
          <w:sz w:val="22"/>
          <w:szCs w:val="22"/>
        </w:rPr>
        <w:t>(</w:t>
      </w:r>
      <w:r>
        <w:rPr>
          <w:i/>
          <w:iCs/>
          <w:sz w:val="22"/>
          <w:szCs w:val="22"/>
        </w:rPr>
        <w:t>E = Iₚc²</w:t>
      </w:r>
      <w:r>
        <w:rPr>
          <w:sz w:val="22"/>
          <w:szCs w:val="22"/>
        </w:rPr>
        <w:t>)</w:t>
      </w:r>
      <w:r>
        <w:rPr>
          <w:i/>
          <w:iCs/>
          <w:sz w:val="22"/>
          <w:szCs w:val="22"/>
        </w:rPr>
        <w:t xml:space="preserve">  =  Ê = m̂ĉ².</w:t>
      </w:r>
      <w:r>
        <w:rPr>
          <w:sz w:val="22"/>
          <w:szCs w:val="22"/>
        </w:rPr>
        <w:t xml:space="preserve">   </w:t>
      </w:r>
      <w:r>
        <w:rPr>
          <w:sz w:val="22"/>
          <w:szCs w:val="22"/>
        </w:rPr>
        <w:tab/>
      </w:r>
      <w:r>
        <w:rPr>
          <w:sz w:val="22"/>
          <w:szCs w:val="22"/>
        </w:rPr>
        <w:tab/>
      </w:r>
      <w:r>
        <w:rPr>
          <w:sz w:val="22"/>
          <w:szCs w:val="22"/>
        </w:rPr>
        <w:tab/>
      </w:r>
      <w:r>
        <w:rPr>
          <w:sz w:val="22"/>
          <w:szCs w:val="22"/>
        </w:rPr>
        <w:tab/>
        <w:t xml:space="preserve"> (10)</w:t>
      </w:r>
    </w:p>
    <w:p w14:paraId="65B860CF" w14:textId="77777777" w:rsidR="004D2D6C" w:rsidRPr="00C651E7" w:rsidRDefault="00000000" w:rsidP="00356A86">
      <w:pPr>
        <w:spacing w:after="160" w:line="276" w:lineRule="auto"/>
        <w:jc w:val="both"/>
        <w:rPr>
          <w:sz w:val="22"/>
          <w:szCs w:val="22"/>
        </w:rPr>
      </w:pPr>
      <w:r>
        <w:rPr>
          <w:sz w:val="22"/>
          <w:szCs w:val="22"/>
        </w:rPr>
        <w:t xml:space="preserve">This is not circular. The equivalence </w:t>
      </w:r>
      <w:r>
        <w:rPr>
          <w:i/>
          <w:iCs/>
          <w:sz w:val="22"/>
          <w:szCs w:val="22"/>
        </w:rPr>
        <w:t>Ê = m̂ĉ²</w:t>
      </w:r>
      <w:r>
        <w:rPr>
          <w:sz w:val="22"/>
          <w:szCs w:val="22"/>
        </w:rPr>
        <w:t xml:space="preserve"> requires the non-trivial identifications </w:t>
      </w:r>
      <w:r>
        <w:rPr>
          <w:i/>
          <w:iCs/>
          <w:sz w:val="22"/>
          <w:szCs w:val="22"/>
        </w:rPr>
        <w:t>I</w:t>
      </w:r>
      <w:r>
        <w:rPr>
          <w:sz w:val="22"/>
          <w:szCs w:val="22"/>
        </w:rPr>
        <w:t xml:space="preserve">ₚ → </w:t>
      </w:r>
      <w:r>
        <w:rPr>
          <w:i/>
          <w:iCs/>
          <w:sz w:val="22"/>
          <w:szCs w:val="22"/>
        </w:rPr>
        <w:t>m̂</w:t>
      </w:r>
      <w:r>
        <w:rPr>
          <w:sz w:val="22"/>
          <w:szCs w:val="22"/>
        </w:rPr>
        <w:t xml:space="preserve"> and </w:t>
      </w:r>
      <w:r>
        <w:rPr>
          <w:i/>
          <w:iCs/>
          <w:sz w:val="22"/>
          <w:szCs w:val="22"/>
        </w:rPr>
        <w:t>c → ĉ</w:t>
      </w:r>
      <w:r>
        <w:rPr>
          <w:sz w:val="22"/>
          <w:szCs w:val="22"/>
        </w:rPr>
        <w:t>, grounded in the Tensor–Rigidity Correspondence and the characterisation of physical coercivity as frozen logical-geometric coercivity, both re-derived in place in Volume II. The corporeal symbol ĉ denotes the same physical constant as Einstein's c; the hat marks its provenance as a frozen informational coercivity constant. Similarly, m̂ denotes the corporeal image of Iₚ after freezing: its numerical value is preserved but its ontological type becomes metric-bearing upon residence in C</w:t>
      </w:r>
      <w:r>
        <w:rPr>
          <w:sz w:val="22"/>
          <w:szCs w:val="22"/>
          <w:vertAlign w:val="subscript"/>
        </w:rPr>
        <w:t>impl</w:t>
      </w:r>
      <w:r>
        <w:rPr>
          <w:sz w:val="22"/>
          <w:szCs w:val="22"/>
        </w:rPr>
        <w:t>.</w:t>
      </w:r>
    </w:p>
    <w:p w14:paraId="6D66D72A" w14:textId="77777777" w:rsidR="004D2D6C" w:rsidRPr="00C651E7" w:rsidRDefault="00000000">
      <w:pPr>
        <w:spacing w:after="160" w:line="276" w:lineRule="auto"/>
        <w:jc w:val="both"/>
        <w:rPr>
          <w:sz w:val="22"/>
          <w:szCs w:val="22"/>
        </w:rPr>
      </w:pPr>
      <w:r>
        <w:rPr>
          <w:sz w:val="22"/>
          <w:szCs w:val="22"/>
        </w:rPr>
        <w:t>The three freezing postulates F1–F3 are grounded by Axioms B1–B3, adopted at closure level R(6) as the axiomatic basis of Volume II. Under these axioms the freezing equivalence is a theorem. Axioms B1–B3 are stated here so that the axiomatic basis of the equivalence is fully transparent; their discharge – formal derivation from R(6) recursive closure – is the central mathematical programme of Volume II.</w:t>
      </w:r>
    </w:p>
    <w:p w14:paraId="1D594AAA" w14:textId="77777777" w:rsidR="004D2D6C" w:rsidRPr="00C651E7" w:rsidRDefault="00000000">
      <w:pPr>
        <w:spacing w:before="140" w:after="140" w:line="276" w:lineRule="auto"/>
        <w:ind w:left="360"/>
        <w:jc w:val="both"/>
        <w:rPr>
          <w:sz w:val="22"/>
          <w:szCs w:val="22"/>
        </w:rPr>
      </w:pPr>
      <w:r>
        <w:rPr>
          <w:b/>
          <w:bCs/>
          <w:sz w:val="22"/>
          <w:szCs w:val="22"/>
        </w:rPr>
        <w:t xml:space="preserve">Bridge Conditions.  </w:t>
      </w:r>
      <w:r>
        <w:rPr>
          <w:sz w:val="22"/>
          <w:szCs w:val="22"/>
        </w:rPr>
        <w:t>The formal discharge requires three conditions:</w:t>
      </w:r>
    </w:p>
    <w:p w14:paraId="05921E86" w14:textId="77777777" w:rsidR="004D2D6C" w:rsidRPr="00C651E7" w:rsidRDefault="00000000">
      <w:pPr>
        <w:spacing w:before="100" w:after="100" w:line="276" w:lineRule="auto"/>
        <w:ind w:left="720" w:right="720"/>
        <w:jc w:val="both"/>
        <w:rPr>
          <w:sz w:val="22"/>
          <w:szCs w:val="22"/>
        </w:rPr>
      </w:pPr>
      <w:r>
        <w:rPr>
          <w:b/>
          <w:bCs/>
          <w:sz w:val="22"/>
          <w:szCs w:val="22"/>
        </w:rPr>
        <w:t xml:space="preserve">B1: </w:t>
      </w:r>
      <w:r>
        <w:rPr>
          <w:sz w:val="22"/>
          <w:szCs w:val="22"/>
        </w:rPr>
        <w:t>Constitutional persistence → rest-mass energy (follows from B2 and B3).</w:t>
      </w:r>
    </w:p>
    <w:p w14:paraId="51A9A816" w14:textId="77777777" w:rsidR="004D2D6C" w:rsidRPr="00C651E7" w:rsidRDefault="00000000">
      <w:pPr>
        <w:spacing w:before="100" w:after="100" w:line="276" w:lineRule="auto"/>
        <w:ind w:left="720" w:right="720"/>
        <w:jc w:val="both"/>
        <w:rPr>
          <w:sz w:val="22"/>
          <w:szCs w:val="22"/>
        </w:rPr>
      </w:pPr>
      <w:r>
        <w:rPr>
          <w:b/>
          <w:bCs/>
          <w:sz w:val="22"/>
          <w:szCs w:val="22"/>
        </w:rPr>
        <w:t xml:space="preserve">B2: </w:t>
      </w:r>
      <w:r>
        <w:rPr>
          <w:sz w:val="22"/>
          <w:szCs w:val="22"/>
        </w:rPr>
        <w:t>Iₚ → m̂ via the freezing projection π and the Tensor–Rigidity Correspondence (re-derived in place in Volume II).</w:t>
      </w:r>
    </w:p>
    <w:p w14:paraId="74A230AD" w14:textId="77777777" w:rsidR="004D2D6C" w:rsidRPr="00C651E7" w:rsidRDefault="00000000">
      <w:pPr>
        <w:spacing w:before="100" w:after="100" w:line="276" w:lineRule="auto"/>
        <w:ind w:left="720" w:right="720"/>
        <w:jc w:val="both"/>
        <w:rPr>
          <w:sz w:val="22"/>
          <w:szCs w:val="22"/>
        </w:rPr>
      </w:pPr>
      <w:r>
        <w:rPr>
          <w:b/>
          <w:bCs/>
          <w:sz w:val="22"/>
          <w:szCs w:val="22"/>
        </w:rPr>
        <w:t xml:space="preserve">B3: </w:t>
      </w:r>
      <w:r>
        <w:rPr>
          <w:sz w:val="22"/>
          <w:szCs w:val="22"/>
        </w:rPr>
        <w:t>c → ĉ via the iota-convergence theorem under R(6) closure. Here ĉ is the corporeal image of the coercivity constant; ĉ = c (the speed of light) within the four-dimensional Lorentzian manifold.</w:t>
      </w:r>
    </w:p>
    <w:p w14:paraId="0D325124" w14:textId="77777777" w:rsidR="004D2D6C" w:rsidRPr="00C651E7" w:rsidRDefault="00000000">
      <w:pPr>
        <w:spacing w:after="160" w:line="276" w:lineRule="auto"/>
        <w:jc w:val="both"/>
        <w:rPr>
          <w:sz w:val="22"/>
          <w:szCs w:val="22"/>
        </w:rPr>
      </w:pPr>
      <w:r>
        <w:rPr>
          <w:sz w:val="22"/>
          <w:szCs w:val="22"/>
        </w:rPr>
        <w:t>Axioms B1–B3 are adopted, not discharged, in Volume I; their discharge is the work of Volume II. The structural parallel is exact in form. Section 5.1 sets out the discharge strategy for each axiom.</w:t>
      </w:r>
    </w:p>
    <w:p w14:paraId="5E5F81F5" w14:textId="77777777" w:rsidR="004D2D6C" w:rsidRPr="00C651E7" w:rsidRDefault="00000000">
      <w:pPr>
        <w:spacing w:before="140" w:after="140" w:line="276" w:lineRule="auto"/>
        <w:ind w:left="360"/>
        <w:jc w:val="both"/>
        <w:rPr>
          <w:sz w:val="22"/>
          <w:szCs w:val="22"/>
        </w:rPr>
      </w:pPr>
      <w:r>
        <w:rPr>
          <w:b/>
          <w:bCs/>
          <w:sz w:val="22"/>
          <w:szCs w:val="22"/>
        </w:rPr>
        <w:lastRenderedPageBreak/>
        <w:t xml:space="preserve">Status of the Freezing Step (conditional equivalence).  </w:t>
      </w:r>
      <w:r>
        <w:rPr>
          <w:sz w:val="22"/>
          <w:szCs w:val="22"/>
        </w:rPr>
        <w:t xml:space="preserve">This paper does not claim that Einstein's equation emerges unconditionally from </w:t>
      </w:r>
      <w:r>
        <w:rPr>
          <w:i/>
          <w:iCs/>
          <w:sz w:val="22"/>
          <w:szCs w:val="22"/>
        </w:rPr>
        <w:t>E = Iₚc²</w:t>
      </w:r>
      <w:r>
        <w:rPr>
          <w:sz w:val="22"/>
          <w:szCs w:val="22"/>
        </w:rPr>
        <w:t>. T-BRIDGE is a bridge theorem conditional on Axioms B1–B3, not an unconditional emergence theorem. Under Axioms B1–B3 (equivalently, the freezing postulates F1–F3 they ground) the equivalence is a theorem. The axioms are adopted, not derived, in this paper. Their discharge from the FGIR recursion hierarchy at R(6) is the work of Volume II. Within Volume I the bridge between the incorporeal coercivity law and the physical mass–energy equation is a theorem conditional on the stated axioms, not an unconditional derivation.</w:t>
      </w:r>
    </w:p>
    <w:p w14:paraId="11097078" w14:textId="77777777" w:rsidR="004D2D6C" w:rsidRPr="00C651E7" w:rsidRDefault="00000000">
      <w:pPr>
        <w:pStyle w:val="Heading2"/>
        <w:rPr>
          <w:sz w:val="22"/>
          <w:szCs w:val="22"/>
        </w:rPr>
      </w:pPr>
      <w:r>
        <w:rPr>
          <w:sz w:val="22"/>
          <w:szCs w:val="22"/>
        </w:rPr>
        <w:t>5.1  Discharge Programme for Axioms B1–B3 (Volume II)</w:t>
      </w:r>
    </w:p>
    <w:p w14:paraId="322C649E" w14:textId="77777777" w:rsidR="004D2D6C" w:rsidRPr="00C651E7" w:rsidRDefault="00000000">
      <w:pPr>
        <w:spacing w:after="160" w:line="276" w:lineRule="auto"/>
        <w:jc w:val="both"/>
        <w:rPr>
          <w:sz w:val="22"/>
          <w:szCs w:val="22"/>
        </w:rPr>
      </w:pPr>
      <w:r>
        <w:rPr>
          <w:sz w:val="22"/>
          <w:szCs w:val="22"/>
        </w:rPr>
        <w:t>The three axioms below are adopted as the axiomatic basis of Volume II. Their discharge – a formal derivation from R(6) recursive closure – is a structured programme naming what Volume II must prove for the axioms to be grounded rather than merely adopted. Each names a concrete mathematical target. Sketching the discharge strategy here makes the Volume II programme a substantive research agenda.</w:t>
      </w:r>
    </w:p>
    <w:p w14:paraId="6C1CBDA3" w14:textId="77777777" w:rsidR="004D2D6C" w:rsidRPr="00C651E7" w:rsidRDefault="00000000">
      <w:pPr>
        <w:spacing w:before="140" w:after="140" w:line="276" w:lineRule="auto"/>
        <w:ind w:left="360"/>
        <w:jc w:val="both"/>
        <w:rPr>
          <w:sz w:val="22"/>
          <w:szCs w:val="22"/>
        </w:rPr>
      </w:pPr>
      <w:r>
        <w:rPr>
          <w:b/>
          <w:bCs/>
          <w:sz w:val="22"/>
          <w:szCs w:val="22"/>
        </w:rPr>
        <w:t>B3 (</w:t>
      </w:r>
      <w:r>
        <w:rPr>
          <w:b/>
          <w:bCs/>
          <w:i/>
          <w:iCs/>
          <w:sz w:val="22"/>
          <w:szCs w:val="22"/>
        </w:rPr>
        <w:t>c → ĉ</w:t>
      </w:r>
      <w:r>
        <w:rPr>
          <w:b/>
          <w:bCs/>
          <w:sz w:val="22"/>
          <w:szCs w:val="22"/>
        </w:rPr>
        <w:t xml:space="preserve">; ι-convergence, discharge target).  </w:t>
      </w:r>
      <w:r>
        <w:rPr>
          <w:sz w:val="22"/>
          <w:szCs w:val="22"/>
        </w:rPr>
        <w:t>The FGIR incorporeal coercivity constant c is defined as the supremum of the gradient of the information potential over the information manifold. To discharge B3, one must show that as recursion depth increases toward R(6) closure, this supremum converges to a finite, Lorentz-invariant signal speed. The intended strategy is an iota-convergence argument: the R(6) architecture imposes a boundary condition that forces the limiting coercivity constant to equal the maximal propagation speed in the emerging Lorentzian manifold. The precise mathematical target is a convergence theorem for the supremal gradient under R(6) closure, a weaker and more tractable result than full metric convergence.</w:t>
      </w:r>
    </w:p>
    <w:p w14:paraId="25A417EB" w14:textId="77777777" w:rsidR="004D2D6C" w:rsidRPr="00C651E7" w:rsidRDefault="00000000">
      <w:pPr>
        <w:spacing w:before="140" w:after="140" w:line="276" w:lineRule="auto"/>
        <w:ind w:left="360"/>
        <w:jc w:val="both"/>
        <w:rPr>
          <w:sz w:val="22"/>
          <w:szCs w:val="22"/>
        </w:rPr>
      </w:pPr>
      <w:r>
        <w:rPr>
          <w:b/>
          <w:bCs/>
          <w:sz w:val="22"/>
          <w:szCs w:val="22"/>
        </w:rPr>
        <w:t>B2 (</w:t>
      </w:r>
      <w:r>
        <w:rPr>
          <w:b/>
          <w:bCs/>
          <w:i/>
          <w:iCs/>
          <w:sz w:val="22"/>
          <w:szCs w:val="22"/>
        </w:rPr>
        <w:t>I</w:t>
      </w:r>
      <w:r>
        <w:rPr>
          <w:b/>
          <w:bCs/>
          <w:sz w:val="22"/>
          <w:szCs w:val="22"/>
        </w:rPr>
        <w:t xml:space="preserve">ₚ → </w:t>
      </w:r>
      <w:r>
        <w:rPr>
          <w:b/>
          <w:bCs/>
          <w:i/>
          <w:iCs/>
          <w:sz w:val="22"/>
          <w:szCs w:val="22"/>
        </w:rPr>
        <w:t>m̂</w:t>
      </w:r>
      <w:r>
        <w:rPr>
          <w:b/>
          <w:bCs/>
          <w:sz w:val="22"/>
          <w:szCs w:val="22"/>
        </w:rPr>
        <w:t xml:space="preserve">; extensivity, discharge target).  </w:t>
      </w:r>
      <w:r>
        <w:rPr>
          <w:sz w:val="22"/>
          <w:szCs w:val="22"/>
        </w:rPr>
        <w:t xml:space="preserve">The Fisher Information density Iₚ on the FGIR operative manifold is a scalar density. Inertial mass in Lorentzian physics is an extensive quantity, additive under disjoint union of isolated subsystems and conserved under free evolution. To discharge B2, one must prove that the integrated Fisher information ℱ over a saturated 4-volume satisfies these axioms of inertial mass. The intended strategy applies the Euler–Lagrange equations for the frozen field to the coercivity law, showing that the only scalar satisfying </w:t>
      </w:r>
      <w:r>
        <w:rPr>
          <w:i/>
          <w:iCs/>
          <w:sz w:val="22"/>
          <w:szCs w:val="22"/>
        </w:rPr>
        <w:t>E = Iₚc²</w:t>
      </w:r>
      <w:r>
        <w:rPr>
          <w:sz w:val="22"/>
          <w:szCs w:val="22"/>
        </w:rPr>
        <w:t xml:space="preserve"> with extensivity and conservation is rest mass (Tensor–Rigidity Correspondence, re-derived in place in Volume II).</w:t>
      </w:r>
    </w:p>
    <w:p w14:paraId="23365609" w14:textId="77777777" w:rsidR="004D2D6C" w:rsidRPr="00C651E7" w:rsidRDefault="00000000">
      <w:pPr>
        <w:spacing w:before="140" w:after="140" w:line="276" w:lineRule="auto"/>
        <w:ind w:left="360"/>
        <w:jc w:val="both"/>
        <w:rPr>
          <w:sz w:val="22"/>
          <w:szCs w:val="22"/>
        </w:rPr>
      </w:pPr>
      <w:r>
        <w:rPr>
          <w:b/>
          <w:bCs/>
          <w:sz w:val="22"/>
          <w:szCs w:val="22"/>
        </w:rPr>
        <w:t xml:space="preserve">B1 (constitutional persistence → rest-mass energy; corollary of B2 and B3).  </w:t>
      </w:r>
      <w:r>
        <w:rPr>
          <w:sz w:val="22"/>
          <w:szCs w:val="22"/>
        </w:rPr>
        <w:t xml:space="preserve">Once Iₚ is established as rest mass (B2) and c as the invariant signal speed (B3), the constitutional persistence of </w:t>
      </w:r>
      <w:r>
        <w:rPr>
          <w:i/>
          <w:iCs/>
          <w:sz w:val="22"/>
          <w:szCs w:val="22"/>
        </w:rPr>
        <w:t>E = Iₚc²</w:t>
      </w:r>
      <w:r>
        <w:rPr>
          <w:sz w:val="22"/>
          <w:szCs w:val="22"/>
        </w:rPr>
        <w:t xml:space="preserve"> through the freezing projection yields </w:t>
      </w:r>
      <w:r>
        <w:rPr>
          <w:i/>
          <w:iCs/>
          <w:sz w:val="22"/>
          <w:szCs w:val="22"/>
        </w:rPr>
        <w:t>Ê = m̂ĉ²</w:t>
      </w:r>
      <w:r>
        <w:rPr>
          <w:sz w:val="22"/>
          <w:szCs w:val="22"/>
        </w:rPr>
        <w:t xml:space="preserve"> as the corporeal image of the same constitutional persistence law. B1 therefore follows as a corollary.</w:t>
      </w:r>
    </w:p>
    <w:p w14:paraId="768F4B91" w14:textId="77777777" w:rsidR="004D2D6C" w:rsidRPr="00C651E7" w:rsidRDefault="00000000">
      <w:pPr>
        <w:pStyle w:val="Heading1"/>
        <w:rPr>
          <w:sz w:val="22"/>
          <w:szCs w:val="22"/>
        </w:rPr>
      </w:pPr>
      <w:r>
        <w:rPr>
          <w:sz w:val="22"/>
          <w:szCs w:val="22"/>
        </w:rPr>
        <w:t>6.  T-BRIDGE: Conditional Freezing Equivalence Theorem</w:t>
      </w:r>
    </w:p>
    <w:p w14:paraId="7252F1A2" w14:textId="77777777" w:rsidR="004D2D6C" w:rsidRPr="00C651E7" w:rsidRDefault="00000000">
      <w:pPr>
        <w:spacing w:after="160" w:line="276" w:lineRule="auto"/>
        <w:jc w:val="both"/>
        <w:rPr>
          <w:sz w:val="22"/>
          <w:szCs w:val="22"/>
        </w:rPr>
      </w:pPr>
      <w:r>
        <w:rPr>
          <w:b/>
          <w:bCs/>
          <w:sz w:val="22"/>
          <w:szCs w:val="22"/>
        </w:rPr>
        <w:t>Context.</w:t>
      </w:r>
      <w:r>
        <w:rPr>
          <w:sz w:val="22"/>
          <w:szCs w:val="22"/>
        </w:rPr>
        <w:t xml:space="preserve">  Work in the FIFT Schema with: (i) four-field ontology (J, I, K, C); (ii) coercivity law </w:t>
      </w:r>
      <w:r>
        <w:rPr>
          <w:i/>
          <w:iCs/>
          <w:sz w:val="22"/>
          <w:szCs w:val="22"/>
        </w:rPr>
        <w:t>E = Iₚc²</w:t>
      </w:r>
      <w:r>
        <w:rPr>
          <w:sz w:val="22"/>
          <w:szCs w:val="22"/>
        </w:rPr>
        <w:t xml:space="preserve"> at the incorporeal level (P25); (iii) freezing projection π : (ℳ, Iₚ, c) → (m̂, ĉ) acting at R(6) on C</w:t>
      </w:r>
      <w:r>
        <w:rPr>
          <w:sz w:val="22"/>
          <w:szCs w:val="22"/>
          <w:vertAlign w:val="subscript"/>
        </w:rPr>
        <w:t>impl</w:t>
      </w:r>
      <w:r>
        <w:rPr>
          <w:sz w:val="22"/>
          <w:szCs w:val="22"/>
        </w:rPr>
        <w:t>.</w:t>
      </w:r>
    </w:p>
    <w:p w14:paraId="730CCCB5" w14:textId="77777777" w:rsidR="004D2D6C" w:rsidRPr="00C651E7" w:rsidRDefault="00000000">
      <w:pPr>
        <w:spacing w:after="160" w:line="276" w:lineRule="auto"/>
        <w:jc w:val="both"/>
        <w:rPr>
          <w:sz w:val="22"/>
          <w:szCs w:val="22"/>
        </w:rPr>
      </w:pPr>
      <w:r>
        <w:rPr>
          <w:sz w:val="22"/>
          <w:szCs w:val="22"/>
        </w:rPr>
        <w:t xml:space="preserve">The T-BRIDGE theorem formalises within the FIFT Schema the equivalence established informally in §5. The setting is more specific: the four-field ontology (J, I, K, C) of FGIR is in force, the coercivity law </w:t>
      </w:r>
      <w:r>
        <w:rPr>
          <w:i/>
          <w:iCs/>
          <w:sz w:val="22"/>
          <w:szCs w:val="22"/>
        </w:rPr>
        <w:t>E = Iₚc²</w:t>
      </w:r>
      <w:r>
        <w:rPr>
          <w:sz w:val="22"/>
          <w:szCs w:val="22"/>
        </w:rPr>
        <w:t xml:space="preserve"> holds at the incorporeal level as the P25 theorem, and the freezing projection π acts at closure level R(6) on the corporeal field C</w:t>
      </w:r>
      <w:r>
        <w:rPr>
          <w:sz w:val="22"/>
          <w:szCs w:val="22"/>
          <w:vertAlign w:val="subscript"/>
        </w:rPr>
        <w:t>impl</w:t>
      </w:r>
      <w:r>
        <w:rPr>
          <w:sz w:val="22"/>
          <w:szCs w:val="22"/>
        </w:rPr>
        <w:t xml:space="preserve">. The freezing postulates F1–F3 are adopted here as working postulates: </w:t>
      </w:r>
      <w:r>
        <w:rPr>
          <w:sz w:val="22"/>
          <w:szCs w:val="22"/>
        </w:rPr>
        <w:lastRenderedPageBreak/>
        <w:t>conditional on their acceptance as part of the R(6) architecture, the equivalence between the informational and physical energy laws becomes a theorem derivable within the schema, not an assumption.</w:t>
      </w:r>
    </w:p>
    <w:p w14:paraId="4D163B82" w14:textId="77777777" w:rsidR="004D2D6C" w:rsidRPr="00C651E7" w:rsidRDefault="00000000">
      <w:pPr>
        <w:spacing w:after="160" w:line="276" w:lineRule="auto"/>
        <w:jc w:val="both"/>
        <w:rPr>
          <w:sz w:val="22"/>
          <w:szCs w:val="22"/>
        </w:rPr>
      </w:pPr>
      <w:r>
        <w:rPr>
          <w:b/>
          <w:bCs/>
          <w:sz w:val="22"/>
          <w:szCs w:val="22"/>
        </w:rPr>
        <w:t>Freezing Postulates</w:t>
      </w:r>
      <w:r>
        <w:rPr>
          <w:sz w:val="22"/>
          <w:szCs w:val="22"/>
        </w:rPr>
        <w:t xml:space="preserve"> (adopted as working postulates at R(6), grounded by Axioms B1–B3; their formal discharge is the central programme of Volume II):</w:t>
      </w:r>
    </w:p>
    <w:p w14:paraId="68F5B886" w14:textId="77777777" w:rsidR="004D2D6C" w:rsidRPr="00C651E7" w:rsidRDefault="00000000">
      <w:pPr>
        <w:spacing w:before="100" w:after="100" w:line="276" w:lineRule="auto"/>
        <w:ind w:left="720" w:right="720"/>
        <w:jc w:val="both"/>
        <w:rPr>
          <w:sz w:val="22"/>
          <w:szCs w:val="22"/>
        </w:rPr>
      </w:pPr>
      <w:r>
        <w:rPr>
          <w:b/>
          <w:bCs/>
          <w:sz w:val="22"/>
          <w:szCs w:val="22"/>
        </w:rPr>
        <w:t xml:space="preserve">F1 (Dimensional reduction): </w:t>
      </w:r>
      <w:r>
        <w:rPr>
          <w:sz w:val="22"/>
          <w:szCs w:val="22"/>
        </w:rPr>
        <w:t>π maps the FGIR residence to a 4D Lorentzian manifold (M, η).</w:t>
      </w:r>
    </w:p>
    <w:p w14:paraId="35B4E5C4" w14:textId="77777777" w:rsidR="004D2D6C" w:rsidRPr="00C651E7" w:rsidRDefault="00000000">
      <w:pPr>
        <w:spacing w:before="100" w:after="100" w:line="276" w:lineRule="auto"/>
        <w:ind w:left="720" w:right="720"/>
        <w:jc w:val="both"/>
        <w:rPr>
          <w:sz w:val="22"/>
          <w:szCs w:val="22"/>
        </w:rPr>
      </w:pPr>
      <w:r>
        <w:rPr>
          <w:b/>
          <w:bCs/>
          <w:sz w:val="22"/>
          <w:szCs w:val="22"/>
        </w:rPr>
        <w:t xml:space="preserve">F2 (Constitutional identification): </w:t>
      </w:r>
      <w:r>
        <w:rPr>
          <w:sz w:val="22"/>
          <w:szCs w:val="22"/>
        </w:rPr>
        <w:t>π(Iₚ) = m̂ (constitutional persistence condenses as rest mass); π(c) = ĉ (coherence conductance freezes as the invariant signal speed; ĉ = c within C</w:t>
      </w:r>
      <w:r>
        <w:rPr>
          <w:sz w:val="22"/>
          <w:szCs w:val="22"/>
          <w:vertAlign w:val="subscript"/>
        </w:rPr>
        <w:t>impl</w:t>
      </w:r>
      <w:r>
        <w:rPr>
          <w:sz w:val="22"/>
          <w:szCs w:val="22"/>
        </w:rPr>
        <w:t>).</w:t>
      </w:r>
    </w:p>
    <w:p w14:paraId="77DF580E" w14:textId="77777777" w:rsidR="004D2D6C" w:rsidRPr="00C651E7" w:rsidRDefault="00000000">
      <w:pPr>
        <w:spacing w:before="100" w:after="100" w:line="276" w:lineRule="auto"/>
        <w:ind w:left="720" w:right="720"/>
        <w:jc w:val="both"/>
        <w:rPr>
          <w:sz w:val="22"/>
          <w:szCs w:val="22"/>
        </w:rPr>
      </w:pPr>
      <w:r>
        <w:rPr>
          <w:b/>
          <w:bCs/>
          <w:sz w:val="22"/>
          <w:szCs w:val="22"/>
        </w:rPr>
        <w:t xml:space="preserve">F3 (Energy preservation): </w:t>
      </w:r>
      <w:r>
        <w:rPr>
          <w:sz w:val="22"/>
          <w:szCs w:val="22"/>
        </w:rPr>
        <w:t>π(E) = Ê (the numerical value is preserved; the ontological type changes from generic to metric-bearing upon residence in C</w:t>
      </w:r>
      <w:r>
        <w:rPr>
          <w:sz w:val="22"/>
          <w:szCs w:val="22"/>
          <w:vertAlign w:val="subscript"/>
        </w:rPr>
        <w:t>impl</w:t>
      </w:r>
      <w:r>
        <w:rPr>
          <w:sz w:val="22"/>
          <w:szCs w:val="22"/>
        </w:rPr>
        <w:t>).</w:t>
      </w:r>
    </w:p>
    <w:p w14:paraId="4E4218B5" w14:textId="77777777" w:rsidR="004D2D6C" w:rsidRPr="00C651E7" w:rsidRDefault="00000000">
      <w:pPr>
        <w:spacing w:after="160" w:line="276" w:lineRule="auto"/>
        <w:jc w:val="both"/>
        <w:rPr>
          <w:sz w:val="22"/>
          <w:szCs w:val="22"/>
        </w:rPr>
      </w:pPr>
      <w:r>
        <w:rPr>
          <w:sz w:val="22"/>
          <w:szCs w:val="22"/>
        </w:rPr>
        <w:t xml:space="preserve">With the three freezing postulates in place, the T-BRIDGE statement asserts that the informational coercivity law and the relativistic mass–energy law are not two separate claims but a single constitutional persistence law expressed in two different ontological vocabularies. At the incorporeal level the law reads </w:t>
      </w:r>
      <w:r>
        <w:rPr>
          <w:i/>
          <w:iCs/>
          <w:sz w:val="22"/>
          <w:szCs w:val="22"/>
        </w:rPr>
        <w:t>E = Iₚc²</w:t>
      </w:r>
      <w:r>
        <w:rPr>
          <w:sz w:val="22"/>
          <w:szCs w:val="22"/>
        </w:rPr>
        <w:t xml:space="preserve"> (plain italic c is the coercivity constant); at the corporeal level, after applying π, it reads </w:t>
      </w:r>
      <w:r>
        <w:rPr>
          <w:i/>
          <w:iCs/>
          <w:sz w:val="22"/>
          <w:szCs w:val="22"/>
        </w:rPr>
        <w:t>Ê = m̂ĉ²</w:t>
      </w:r>
      <w:r>
        <w:rPr>
          <w:sz w:val="22"/>
          <w:szCs w:val="22"/>
        </w:rPr>
        <w:t xml:space="preserve"> (the hat on ĉ marks that the coercivity constant has been frozen into Einstein's speed of light by F2).</w:t>
      </w:r>
    </w:p>
    <w:p w14:paraId="58BAA8E6" w14:textId="77777777" w:rsidR="004D2D6C" w:rsidRPr="00C651E7" w:rsidRDefault="00000000">
      <w:pPr>
        <w:spacing w:before="140" w:after="140" w:line="276" w:lineRule="auto"/>
        <w:ind w:left="360"/>
        <w:jc w:val="both"/>
        <w:rPr>
          <w:sz w:val="22"/>
          <w:szCs w:val="22"/>
        </w:rPr>
      </w:pPr>
      <w:r>
        <w:rPr>
          <w:b/>
          <w:bCs/>
          <w:sz w:val="22"/>
          <w:szCs w:val="22"/>
        </w:rPr>
        <w:t xml:space="preserve">Statement.  </w:t>
      </w:r>
      <w:r>
        <w:rPr>
          <w:sz w:val="22"/>
          <w:szCs w:val="22"/>
        </w:rPr>
        <w:t>On C</w:t>
      </w:r>
      <w:r>
        <w:rPr>
          <w:sz w:val="22"/>
          <w:szCs w:val="22"/>
          <w:vertAlign w:val="subscript"/>
        </w:rPr>
        <w:t>impl</w:t>
      </w:r>
      <w:r>
        <w:rPr>
          <w:sz w:val="22"/>
          <w:szCs w:val="22"/>
        </w:rPr>
        <w:t>, under π satisfying F1–F3, the informational coercivity law and the relativistic mass–energy law are the same equation in different representations:</w:t>
      </w:r>
    </w:p>
    <w:p w14:paraId="0BEE74E5" w14:textId="77777777" w:rsidR="004D2D6C" w:rsidRPr="00C651E7" w:rsidRDefault="00000000">
      <w:pPr>
        <w:spacing w:before="120" w:after="120"/>
        <w:jc w:val="center"/>
        <w:rPr>
          <w:sz w:val="22"/>
          <w:szCs w:val="22"/>
        </w:rPr>
      </w:pPr>
      <w:r>
        <w:rPr>
          <w:i/>
          <w:iCs/>
          <w:sz w:val="22"/>
          <w:szCs w:val="22"/>
        </w:rPr>
        <w:t xml:space="preserve">E = Iₚc²  </w:t>
      </w:r>
      <w:r>
        <w:rPr>
          <w:rFonts w:ascii="Cambria Math" w:hAnsi="Cambria Math" w:cs="Cambria Math"/>
          <w:i/>
          <w:iCs/>
          <w:sz w:val="22"/>
          <w:szCs w:val="22"/>
        </w:rPr>
        <w:t>⟺</w:t>
      </w:r>
      <w:r>
        <w:rPr>
          <w:i/>
          <w:iCs/>
          <w:sz w:val="22"/>
          <w:szCs w:val="22"/>
        </w:rPr>
        <w:t xml:space="preserve">  Ê = m̂ĉ².</w:t>
      </w:r>
      <w:r>
        <w:rPr>
          <w:sz w:val="22"/>
          <w:szCs w:val="22"/>
        </w:rPr>
        <w:t xml:space="preserve">    (11)</w:t>
      </w:r>
    </w:p>
    <w:p w14:paraId="560739E6" w14:textId="77777777" w:rsidR="004D2D6C" w:rsidRPr="00C651E7" w:rsidRDefault="00000000">
      <w:pPr>
        <w:spacing w:after="160" w:line="276" w:lineRule="auto"/>
        <w:jc w:val="both"/>
        <w:rPr>
          <w:sz w:val="22"/>
          <w:szCs w:val="22"/>
        </w:rPr>
      </w:pPr>
      <w:r>
        <w:rPr>
          <w:sz w:val="22"/>
          <w:szCs w:val="22"/>
        </w:rPr>
        <w:t>(At the incorporeal level, plain italic c denotes the coercivity constant; upon freezing, c maps to ĉ, and within the corporeal field ĉ = c, the speed of light.)</w:t>
      </w:r>
    </w:p>
    <w:p w14:paraId="6E451C0C" w14:textId="77777777" w:rsidR="004D2D6C" w:rsidRPr="00C651E7" w:rsidRDefault="00000000">
      <w:pPr>
        <w:spacing w:after="160" w:line="276" w:lineRule="auto"/>
        <w:jc w:val="both"/>
        <w:rPr>
          <w:sz w:val="22"/>
          <w:szCs w:val="22"/>
        </w:rPr>
      </w:pPr>
      <w:r>
        <w:rPr>
          <w:i/>
          <w:iCs/>
          <w:sz w:val="22"/>
          <w:szCs w:val="22"/>
        </w:rPr>
        <w:t>Proof.</w:t>
      </w:r>
      <w:r>
        <w:rPr>
          <w:sz w:val="22"/>
          <w:szCs w:val="22"/>
        </w:rPr>
        <w:t xml:space="preserve">  Start from P25 at the incorporeal level: </w:t>
      </w:r>
      <w:r>
        <w:rPr>
          <w:i/>
          <w:iCs/>
          <w:sz w:val="22"/>
          <w:szCs w:val="22"/>
        </w:rPr>
        <w:t>E = Iₚc²</w:t>
      </w:r>
      <w:r>
        <w:rPr>
          <w:sz w:val="22"/>
          <w:szCs w:val="22"/>
        </w:rPr>
        <w:t>. Apply π and use F3 (energy preservation): Ê = π(E) = π(Iₚc²). By functoriality of π on products and F2: π(Iₚc²) = π(Iₚ)·π(c)² = m̂·ĉ² (corporeal identity: ĉ = c within C</w:t>
      </w:r>
      <w:r>
        <w:rPr>
          <w:sz w:val="22"/>
          <w:szCs w:val="22"/>
          <w:vertAlign w:val="subscript"/>
        </w:rPr>
        <w:t>impl</w:t>
      </w:r>
      <w:r>
        <w:rPr>
          <w:sz w:val="22"/>
          <w:szCs w:val="22"/>
        </w:rPr>
        <w:t xml:space="preserve">, by F2). Hence Ê = m̂ĉ². Conversely, given </w:t>
      </w:r>
      <w:r>
        <w:rPr>
          <w:i/>
          <w:iCs/>
          <w:sz w:val="22"/>
          <w:szCs w:val="22"/>
        </w:rPr>
        <w:t>E = mc²</w:t>
      </w:r>
      <w:r>
        <w:rPr>
          <w:sz w:val="22"/>
          <w:szCs w:val="22"/>
        </w:rPr>
        <w:t xml:space="preserve"> on C</w:t>
      </w:r>
      <w:r>
        <w:rPr>
          <w:sz w:val="22"/>
          <w:szCs w:val="22"/>
          <w:vertAlign w:val="subscript"/>
        </w:rPr>
        <w:t>impl</w:t>
      </w:r>
      <w:r>
        <w:rPr>
          <w:sz w:val="22"/>
          <w:szCs w:val="22"/>
        </w:rPr>
        <w:t xml:space="preserve"> and F2–F3, the same steps in reverse yield </w:t>
      </w:r>
      <w:r>
        <w:rPr>
          <w:i/>
          <w:iCs/>
          <w:sz w:val="22"/>
          <w:szCs w:val="22"/>
        </w:rPr>
        <w:t>E = Iₚc²</w:t>
      </w:r>
      <w:r>
        <w:rPr>
          <w:sz w:val="22"/>
          <w:szCs w:val="22"/>
        </w:rPr>
        <w:t xml:space="preserve"> on the FGIR side. Therefore, under F1–F3, the two equations are equivalent representations of a single constitutional persistence law.  </w:t>
      </w:r>
      <w:r>
        <w:rPr>
          <w:rFonts w:ascii="Cambria Math" w:hAnsi="Cambria Math" w:cs="Cambria Math"/>
          <w:sz w:val="22"/>
          <w:szCs w:val="22"/>
        </w:rPr>
        <w:t>∎</w:t>
      </w:r>
    </w:p>
    <w:p w14:paraId="6C51DCFC" w14:textId="77777777" w:rsidR="004D2D6C" w:rsidRPr="00C651E7" w:rsidRDefault="00000000">
      <w:pPr>
        <w:spacing w:after="160" w:line="276" w:lineRule="auto"/>
        <w:jc w:val="both"/>
        <w:rPr>
          <w:sz w:val="22"/>
          <w:szCs w:val="22"/>
        </w:rPr>
      </w:pPr>
      <w:r>
        <w:rPr>
          <w:b/>
          <w:bCs/>
          <w:sz w:val="22"/>
          <w:szCs w:val="22"/>
        </w:rPr>
        <w:t>Schema-level status.</w:t>
      </w:r>
      <w:r>
        <w:rPr>
          <w:sz w:val="22"/>
          <w:szCs w:val="22"/>
        </w:rPr>
        <w:t xml:space="preserve">  Unconditional facts: </w:t>
      </w:r>
      <w:r>
        <w:rPr>
          <w:i/>
          <w:iCs/>
          <w:sz w:val="22"/>
          <w:szCs w:val="22"/>
        </w:rPr>
        <w:t>E = Iₚc²</w:t>
      </w:r>
      <w:r>
        <w:rPr>
          <w:sz w:val="22"/>
          <w:szCs w:val="22"/>
        </w:rPr>
        <w:t xml:space="preserve"> (P25 theorem); </w:t>
      </w:r>
      <w:r>
        <w:rPr>
          <w:i/>
          <w:iCs/>
          <w:sz w:val="22"/>
          <w:szCs w:val="22"/>
        </w:rPr>
        <w:t>E = mc²</w:t>
      </w:r>
      <w:r>
        <w:rPr>
          <w:sz w:val="22"/>
          <w:szCs w:val="22"/>
        </w:rPr>
        <w:t xml:space="preserve"> (physical law). Conditional bridge: if freezing postulates F1–F3 are adopted as part of the R(6) architecture of C</w:t>
      </w:r>
      <w:r>
        <w:rPr>
          <w:sz w:val="22"/>
          <w:szCs w:val="22"/>
          <w:vertAlign w:val="subscript"/>
        </w:rPr>
        <w:t>impl</w:t>
      </w:r>
      <w:r>
        <w:rPr>
          <w:sz w:val="22"/>
          <w:szCs w:val="22"/>
        </w:rPr>
        <w:t xml:space="preserve">, then the equivalence </w:t>
      </w:r>
      <w:r>
        <w:rPr>
          <w:i/>
          <w:iCs/>
          <w:sz w:val="22"/>
          <w:szCs w:val="22"/>
        </w:rPr>
        <w:t>E = Iₚc² ≡ Ê = m̂ĉ²</w:t>
      </w:r>
      <w:r>
        <w:rPr>
          <w:sz w:val="22"/>
          <w:szCs w:val="22"/>
        </w:rPr>
        <w:t xml:space="preserve"> is derivable from the schema as T-BRIDGE, not postulated. Once freezing is treated as an internalised part of C</w:t>
      </w:r>
      <w:r>
        <w:rPr>
          <w:sz w:val="22"/>
          <w:szCs w:val="22"/>
          <w:vertAlign w:val="subscript"/>
        </w:rPr>
        <w:t>impl</w:t>
      </w:r>
      <w:r>
        <w:rPr>
          <w:sz w:val="22"/>
          <w:szCs w:val="22"/>
        </w:rPr>
        <w:t>, the bridge is no longer a postulate but the corporeal face of the same constitutional persistence law.</w:t>
      </w:r>
    </w:p>
    <w:p w14:paraId="1B97ADA7" w14:textId="77777777" w:rsidR="004D2D6C" w:rsidRPr="00C651E7" w:rsidRDefault="000D6671">
      <w:pPr>
        <w:pStyle w:val="Heading1"/>
        <w:rPr>
          <w:sz w:val="22"/>
          <w:szCs w:val="22"/>
        </w:rPr>
      </w:pPr>
      <w:r>
        <w:rPr>
          <w:sz w:val="22"/>
          <w:szCs w:val="22"/>
        </w:rPr>
        <w:t>6B.  Corporeal Projections of the Coercivity Law</w:t>
      </w:r>
    </w:p>
    <w:p w14:paraId="24EDAE1F" w14:textId="77777777" w:rsidR="004D2D6C" w:rsidRPr="00C651E7" w:rsidRDefault="00000000">
      <w:pPr>
        <w:spacing w:after="160" w:line="276" w:lineRule="auto"/>
        <w:jc w:val="both"/>
        <w:rPr>
          <w:sz w:val="22"/>
          <w:szCs w:val="22"/>
        </w:rPr>
      </w:pPr>
      <w:r>
        <w:rPr>
          <w:sz w:val="22"/>
          <w:szCs w:val="22"/>
        </w:rPr>
        <w:t xml:space="preserve">The coercivity law </w:t>
      </w:r>
      <w:r>
        <w:rPr>
          <w:i/>
          <w:iCs/>
          <w:sz w:val="22"/>
          <w:szCs w:val="22"/>
        </w:rPr>
        <w:t>E = Iₚc²</w:t>
      </w:r>
      <w:r>
        <w:rPr>
          <w:sz w:val="22"/>
          <w:szCs w:val="22"/>
        </w:rPr>
        <w:t xml:space="preserve"> is a general law of enaction: it holds on any information manifold satisfying the Saturation-Rigidity Principle, regardless of domain. Its corporeal projections fall into two structurally distinct categories. The first comprises </w:t>
      </w:r>
      <w:r>
        <w:rPr>
          <w:i/>
          <w:iCs/>
          <w:sz w:val="22"/>
          <w:szCs w:val="22"/>
        </w:rPr>
        <w:t>direct freezing projections</w:t>
      </w:r>
      <w:r>
        <w:rPr>
          <w:sz w:val="22"/>
          <w:szCs w:val="22"/>
        </w:rPr>
        <w:t xml:space="preserve">: domain-specific applications of the freezing map π that collapses the incorporeal quantities (E, Iₚ, c) onto a given corporeal field, yielding a domain-specific persistence law. These projections share the same logical structure as the T-BRIDGE derivation of </w:t>
      </w:r>
      <w:r>
        <w:rPr>
          <w:i/>
          <w:iCs/>
          <w:sz w:val="22"/>
          <w:szCs w:val="22"/>
        </w:rPr>
        <w:t>Ê = m̂ĉ²</w:t>
      </w:r>
      <w:r>
        <w:rPr>
          <w:sz w:val="22"/>
          <w:szCs w:val="22"/>
        </w:rPr>
        <w:t xml:space="preserve">: each requires a dimensional reduction, a constitutional identification of Iₚ and c with </w:t>
      </w:r>
      <w:r>
        <w:rPr>
          <w:sz w:val="22"/>
          <w:szCs w:val="22"/>
        </w:rPr>
        <w:lastRenderedPageBreak/>
        <w:t xml:space="preserve">domain-specific quantities, and energy preservation. The second comprises </w:t>
      </w:r>
      <w:r>
        <w:rPr>
          <w:i/>
          <w:iCs/>
          <w:sz w:val="22"/>
          <w:szCs w:val="22"/>
        </w:rPr>
        <w:t>Constitutional Persistence Cycle (CPC) derivations</w:t>
      </w:r>
      <w:r>
        <w:rPr>
          <w:sz w:val="22"/>
          <w:szCs w:val="22"/>
        </w:rPr>
        <w:t>: equations that emerge not from a direct freezing projection but from the full recursive dynamics of the CPC, Łojasiewicz rigidity lock, Berezin-Pfaffian entity collapse, and Picard-Lefschetz monodromy reset, which together generate a persistent random walk whose limiting equations are the Schrödinger, diffusion, and Dirac equations depending on context.</w:t>
      </w:r>
    </w:p>
    <w:p w14:paraId="4D3D958E" w14:textId="77777777" w:rsidR="004D2D6C" w:rsidRPr="00C651E7" w:rsidRDefault="00000000">
      <w:pPr>
        <w:spacing w:after="160" w:line="276" w:lineRule="auto"/>
        <w:jc w:val="both"/>
        <w:rPr>
          <w:sz w:val="22"/>
          <w:szCs w:val="22"/>
        </w:rPr>
      </w:pPr>
      <w:r>
        <w:rPr>
          <w:b/>
          <w:bCs/>
          <w:sz w:val="22"/>
          <w:szCs w:val="22"/>
        </w:rPr>
        <w:t xml:space="preserve">Direct Freezing Projections of </w:t>
      </w:r>
      <w:r>
        <w:rPr>
          <w:b/>
          <w:bCs/>
          <w:i/>
          <w:iCs/>
          <w:sz w:val="22"/>
          <w:szCs w:val="22"/>
        </w:rPr>
        <w:t>E = I</w:t>
      </w:r>
      <w:r>
        <w:rPr>
          <w:b/>
          <w:bCs/>
          <w:sz w:val="22"/>
          <w:szCs w:val="22"/>
        </w:rPr>
        <w:t>ₚ</w:t>
      </w:r>
      <w:r>
        <w:rPr>
          <w:b/>
          <w:bCs/>
          <w:i/>
          <w:iCs/>
          <w:sz w:val="22"/>
          <w:szCs w:val="22"/>
        </w:rPr>
        <w:t>c</w:t>
      </w:r>
      <w:r>
        <w:rPr>
          <w:b/>
          <w:bCs/>
          <w:sz w:val="22"/>
          <w:szCs w:val="22"/>
        </w:rPr>
        <w:t>²</w:t>
      </w:r>
    </w:p>
    <w:p w14:paraId="4E9F4E90" w14:textId="77777777" w:rsidR="000D6671" w:rsidRPr="000D6671" w:rsidRDefault="000D6671">
      <w:pPr>
        <w:spacing w:after="160" w:line="276" w:lineRule="auto"/>
        <w:jc w:val="both"/>
        <w:rPr>
          <w:sz w:val="22"/>
          <w:szCs w:val="22"/>
        </w:rPr>
      </w:pPr>
      <w:r>
        <w:rPr>
          <w:sz w:val="22"/>
          <w:szCs w:val="22"/>
        </w:rPr>
        <w:t xml:space="preserve">In Table A below, each row represents a domain in which the freezing map </w:t>
      </w:r>
      <m:oMath>
        <m:r>
          <w:rPr>
            <w:rFonts w:ascii="Cambria Math" w:hAnsi="Cambria Math"/>
            <w:sz w:val="22"/>
            <w:szCs w:val="22"/>
          </w:rPr>
          <m:t>π</m:t>
        </m:r>
      </m:oMath>
      <w:r>
        <w:rPr>
          <w:sz w:val="22"/>
          <w:szCs w:val="22"/>
        </w:rPr>
        <w:t>has a well</w:t>
      </w:r>
      <w:r>
        <w:rPr>
          <w:sz w:val="22"/>
          <w:szCs w:val="22"/>
        </w:rPr>
        <w:noBreakHyphen/>
        <w:t xml:space="preserve">defined action: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oMath>
      <w:r>
        <w:rPr>
          <w:sz w:val="22"/>
          <w:szCs w:val="22"/>
        </w:rPr>
        <w:t>condenses into a domain</w:t>
      </w:r>
      <w:r>
        <w:rPr>
          <w:sz w:val="22"/>
          <w:szCs w:val="22"/>
        </w:rPr>
        <w:noBreakHyphen/>
        <w:t xml:space="preserve">specific information mass, </w:t>
      </w:r>
      <m:oMath>
        <m:r>
          <w:rPr>
            <w:rFonts w:ascii="Cambria Math" w:hAnsi="Cambria Math"/>
            <w:sz w:val="22"/>
            <w:szCs w:val="22"/>
          </w:rPr>
          <m:t>c</m:t>
        </m:r>
      </m:oMath>
      <w:r>
        <w:rPr>
          <w:sz w:val="22"/>
          <w:szCs w:val="22"/>
        </w:rPr>
        <w:t>freezes to a domain</w:t>
      </w:r>
      <w:r>
        <w:rPr>
          <w:sz w:val="22"/>
          <w:szCs w:val="22"/>
        </w:rPr>
        <w:noBreakHyphen/>
        <w:t xml:space="preserve">specific propagation speed, and the resulting law is what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xml:space="preserve">becomes under those identifications. Einstein’s </w:t>
      </w:r>
      <m:oMath>
        <m:r>
          <w:rPr>
            <w:rFonts w:ascii="Cambria Math" w:hAnsi="Cambria Math"/>
            <w:sz w:val="22"/>
            <w:szCs w:val="22"/>
          </w:rPr>
          <m:t>E=m</m:t>
        </m:r>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is the most familiar row, but it is subject to the most restrictive conditions: a four</w:t>
      </w:r>
      <w:r>
        <w:rPr>
          <w:sz w:val="22"/>
          <w:szCs w:val="22"/>
        </w:rPr>
        <w:noBreakHyphen/>
        <w:t>dimensional Lorentzian manifold, rest</w:t>
      </w:r>
      <w:r>
        <w:rPr>
          <w:sz w:val="22"/>
          <w:szCs w:val="22"/>
        </w:rPr>
        <w:noBreakHyphen/>
        <w:t xml:space="preserve">frame evaluation, flat spacetime, and the formal discharge of Axioms B1–B3. Every other row in the table is equally a projection of the same incorporeal law. The thermodynamics row uses </w:t>
      </w:r>
      <m:oMath>
        <m:r>
          <w:rPr>
            <w:rFonts w:ascii="Cambria Math" w:hAnsi="Cambria Math"/>
            <w:sz w:val="22"/>
            <w:szCs w:val="22"/>
          </w:rPr>
          <m:t>c→</m:t>
        </m:r>
        <m:rad>
          <m:radPr>
            <m:degHide m:val="1"/>
            <m:ctrlPr>
              <w:rPr>
                <w:rFonts w:ascii="Cambria Math" w:hAnsi="Cambria Math"/>
                <w:sz w:val="22"/>
                <w:szCs w:val="22"/>
              </w:rPr>
            </m:ctrlPr>
          </m:radPr>
          <m:deg/>
          <m:e>
            <m:r>
              <w:rPr>
                <w:rFonts w:ascii="Cambria Math" w:hAnsi="Cambria Math"/>
                <w:sz w:val="22"/>
                <w:szCs w:val="22"/>
              </w:rPr>
              <m:t>kT</m:t>
            </m:r>
          </m:e>
        </m:rad>
      </m:oMath>
      <w:r>
        <w:rPr>
          <w:sz w:val="22"/>
          <w:szCs w:val="22"/>
        </w:rPr>
        <w:t xml:space="preserve">, so that </w:t>
      </w:r>
      <m:oMath>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r>
          <w:rPr>
            <w:rFonts w:ascii="Cambria Math" w:hAnsi="Cambria Math"/>
            <w:sz w:val="22"/>
            <w:szCs w:val="22"/>
          </w:rPr>
          <m:t>→kT</m:t>
        </m:r>
      </m:oMath>
      <w:r>
        <w:rPr>
          <w:sz w:val="22"/>
          <w:szCs w:val="22"/>
        </w:rPr>
        <w:t xml:space="preserve"> and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p</m:t>
            </m:r>
          </m:sub>
        </m:sSub>
        <m:sSup>
          <m:sSupPr>
            <m:ctrlPr>
              <w:rPr>
                <w:rFonts w:ascii="Cambria Math" w:hAnsi="Cambria Math"/>
                <w:sz w:val="22"/>
                <w:szCs w:val="22"/>
              </w:rPr>
            </m:ctrlPr>
          </m:sSupPr>
          <m:e>
            <m:r>
              <w:rPr>
                <w:rFonts w:ascii="Cambria Math" w:hAnsi="Cambria Math"/>
                <w:sz w:val="22"/>
                <w:szCs w:val="22"/>
              </w:rPr>
              <m:t>c</m:t>
            </m:r>
          </m:e>
          <m:sup>
            <m:r>
              <w:rPr>
                <w:rFonts w:ascii="Cambria Math" w:hAnsi="Cambria Math"/>
                <w:sz w:val="22"/>
                <w:szCs w:val="22"/>
              </w:rPr>
              <m:t>2</m:t>
            </m:r>
          </m:sup>
        </m:sSup>
      </m:oMath>
      <w:r>
        <w:rPr>
          <w:sz w:val="22"/>
          <w:szCs w:val="22"/>
        </w:rPr>
        <w:t xml:space="preserve">yields </w:t>
      </w:r>
      <m:oMath>
        <m:r>
          <w:rPr>
            <w:rFonts w:ascii="Cambria Math" w:hAnsi="Cambria Math"/>
            <w:sz w:val="22"/>
            <w:szCs w:val="22"/>
          </w:rPr>
          <m:t>E=</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p</m:t>
            </m:r>
          </m:sub>
        </m:sSub>
        <m:r>
          <m:rPr>
            <m:nor/>
          </m:rPr>
          <w:rPr>
            <w:sz w:val="22"/>
            <w:szCs w:val="22"/>
          </w:rPr>
          <m:t> </m:t>
        </m:r>
        <m:r>
          <w:rPr>
            <w:rFonts w:ascii="Cambria Math" w:hAnsi="Cambria Math"/>
            <w:sz w:val="22"/>
            <w:szCs w:val="22"/>
          </w:rPr>
          <m:t>kT</m:t>
        </m:r>
      </m:oMath>
      <w:r>
        <w:rPr>
          <w:sz w:val="22"/>
          <w:szCs w:val="22"/>
        </w:rPr>
        <w:t xml:space="preserve">, recovering the Landauer–Maxwell–Boltzmann scale (Landauer, 1961); the mass </w:t>
      </w:r>
      <m:oMath>
        <m:r>
          <w:rPr>
            <w:rFonts w:ascii="Cambria Math" w:hAnsi="Cambria Math"/>
            <w:sz w:val="22"/>
            <w:szCs w:val="22"/>
          </w:rPr>
          <m:t>m</m:t>
        </m:r>
      </m:oMath>
      <w:r>
        <w:rPr>
          <w:sz w:val="22"/>
          <w:szCs w:val="22"/>
        </w:rPr>
        <w:t xml:space="preserve">enters through the expression of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p</m:t>
            </m:r>
          </m:sub>
        </m:sSub>
      </m:oMath>
      <w:r>
        <w:rPr>
          <w:sz w:val="22"/>
          <w:szCs w:val="22"/>
        </w:rPr>
        <w:t xml:space="preserve">in that domain rather than through the </w:t>
      </w:r>
      <m:oMath>
        <m:r>
          <w:rPr>
            <w:rFonts w:ascii="Cambria Math" w:hAnsi="Cambria Math"/>
            <w:sz w:val="22"/>
            <w:szCs w:val="22"/>
          </w:rPr>
          <m:t>c</m:t>
        </m:r>
      </m:oMath>
      <w:r>
        <w:rPr>
          <w:sz w:val="22"/>
          <w:szCs w:val="22"/>
        </w:rPr>
        <w:t>-identification.</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38"/>
        <w:gridCol w:w="1957"/>
        <w:gridCol w:w="1524"/>
        <w:gridCol w:w="1638"/>
        <w:gridCol w:w="2303"/>
      </w:tblGrid>
      <w:tr w:rsidR="004D2D6C" w:rsidRPr="00C651E7" w14:paraId="011BADEB" w14:textId="77777777" w:rsidTr="00B97E67">
        <w:trPr>
          <w:tblHeader/>
        </w:trPr>
        <w:tc>
          <w:tcPr>
            <w:tcW w:w="1838"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5095CC51" w14:textId="77777777" w:rsidR="004D2D6C" w:rsidRPr="00C651E7" w:rsidRDefault="00000000" w:rsidP="00C651E7">
            <w:pPr>
              <w:jc w:val="center"/>
              <w:rPr>
                <w:sz w:val="20"/>
                <w:szCs w:val="20"/>
              </w:rPr>
            </w:pPr>
            <w:r>
              <w:rPr>
                <w:b/>
                <w:bCs/>
                <w:sz w:val="20"/>
                <w:szCs w:val="20"/>
              </w:rPr>
              <w:t>Corporeal context</w:t>
            </w:r>
          </w:p>
        </w:tc>
        <w:tc>
          <w:tcPr>
            <w:tcW w:w="1957"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1DCC2FBF" w14:textId="77777777" w:rsidR="004D2D6C" w:rsidRPr="00C651E7" w:rsidRDefault="00000000" w:rsidP="00C651E7">
            <w:pPr>
              <w:jc w:val="center"/>
              <w:rPr>
                <w:sz w:val="20"/>
                <w:szCs w:val="20"/>
              </w:rPr>
            </w:pPr>
            <w:r>
              <w:rPr>
                <w:b/>
                <w:bCs/>
                <w:sz w:val="20"/>
                <w:szCs w:val="20"/>
              </w:rPr>
              <w:t>Corporeal field</w:t>
            </w:r>
          </w:p>
        </w:tc>
        <w:tc>
          <w:tcPr>
            <w:tcW w:w="1524"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3D507094" w14:textId="77777777" w:rsidR="004D2D6C" w:rsidRPr="00C651E7" w:rsidRDefault="00000000" w:rsidP="00C651E7">
            <w:pPr>
              <w:jc w:val="center"/>
              <w:rPr>
                <w:sz w:val="20"/>
                <w:szCs w:val="20"/>
              </w:rPr>
            </w:pPr>
            <w:r>
              <w:rPr>
                <w:b/>
                <w:bCs/>
                <w:i/>
                <w:iCs/>
                <w:sz w:val="20"/>
                <w:szCs w:val="20"/>
              </w:rPr>
              <w:t>I</w:t>
            </w:r>
            <w:r>
              <w:rPr>
                <w:b/>
                <w:bCs/>
                <w:sz w:val="20"/>
                <w:szCs w:val="20"/>
              </w:rPr>
              <w:t>ₚ maps to</w:t>
            </w:r>
          </w:p>
        </w:tc>
        <w:tc>
          <w:tcPr>
            <w:tcW w:w="1638"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51FBAE76" w14:textId="77777777" w:rsidR="004D2D6C" w:rsidRPr="00C651E7" w:rsidRDefault="00000000" w:rsidP="00C651E7">
            <w:pPr>
              <w:jc w:val="center"/>
              <w:rPr>
                <w:sz w:val="20"/>
                <w:szCs w:val="20"/>
              </w:rPr>
            </w:pPr>
            <w:r>
              <w:rPr>
                <w:b/>
                <w:bCs/>
                <w:i/>
                <w:iCs/>
                <w:sz w:val="20"/>
                <w:szCs w:val="20"/>
              </w:rPr>
              <w:t>c</w:t>
            </w:r>
            <w:r>
              <w:rPr>
                <w:b/>
                <w:bCs/>
                <w:sz w:val="20"/>
                <w:szCs w:val="20"/>
              </w:rPr>
              <w:t xml:space="preserve"> maps to</w:t>
            </w:r>
          </w:p>
        </w:tc>
        <w:tc>
          <w:tcPr>
            <w:tcW w:w="2303"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3F60D6C2" w14:textId="77777777" w:rsidR="004D2D6C" w:rsidRPr="00C651E7" w:rsidRDefault="00000000" w:rsidP="00C651E7">
            <w:pPr>
              <w:jc w:val="center"/>
              <w:rPr>
                <w:sz w:val="20"/>
                <w:szCs w:val="20"/>
              </w:rPr>
            </w:pPr>
            <w:r>
              <w:rPr>
                <w:b/>
                <w:bCs/>
                <w:sz w:val="20"/>
                <w:szCs w:val="20"/>
              </w:rPr>
              <w:t>Resulting law</w:t>
            </w:r>
          </w:p>
        </w:tc>
      </w:tr>
      <w:tr w:rsidR="004D2D6C" w:rsidRPr="00C651E7" w14:paraId="4F46CDCA"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EBB0E4" w14:textId="77777777" w:rsidR="004D2D6C" w:rsidRPr="00C651E7" w:rsidRDefault="00000000" w:rsidP="00C651E7">
            <w:pPr>
              <w:rPr>
                <w:sz w:val="20"/>
                <w:szCs w:val="20"/>
              </w:rPr>
            </w:pPr>
            <w:r>
              <w:rPr>
                <w:sz w:val="20"/>
                <w:szCs w:val="20"/>
              </w:rPr>
              <w:t>Special relativity (flat 4D)</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5EDEE39" w14:textId="77777777" w:rsidR="004D2D6C" w:rsidRPr="00C651E7" w:rsidRDefault="00000000" w:rsidP="00C651E7">
            <w:pPr>
              <w:rPr>
                <w:sz w:val="20"/>
                <w:szCs w:val="20"/>
              </w:rPr>
            </w:pPr>
            <w:r>
              <w:rPr>
                <w:sz w:val="20"/>
                <w:szCs w:val="20"/>
              </w:rPr>
              <w:t>Lorentzian spacetime</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D8EC6B" w14:textId="77777777" w:rsidR="004D2D6C" w:rsidRPr="00C651E7" w:rsidRDefault="00000000" w:rsidP="00C651E7">
            <w:pPr>
              <w:rPr>
                <w:sz w:val="20"/>
                <w:szCs w:val="20"/>
              </w:rPr>
            </w:pPr>
            <w:r>
              <w:rPr>
                <w:sz w:val="20"/>
                <w:szCs w:val="20"/>
              </w:rPr>
              <w:t>Rest mass m̂</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3F28FB9" w14:textId="77777777" w:rsidR="004D2D6C" w:rsidRPr="00C651E7" w:rsidRDefault="00000000" w:rsidP="00C651E7">
            <w:pPr>
              <w:rPr>
                <w:sz w:val="20"/>
                <w:szCs w:val="20"/>
              </w:rPr>
            </w:pPr>
            <w:r>
              <w:rPr>
                <w:sz w:val="20"/>
                <w:szCs w:val="20"/>
              </w:rPr>
              <w:t>Speed of light c</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B8097A8" w14:textId="77777777" w:rsidR="004D2D6C" w:rsidRPr="00C651E7" w:rsidRDefault="00000000" w:rsidP="00C651E7">
            <w:pPr>
              <w:rPr>
                <w:sz w:val="20"/>
                <w:szCs w:val="20"/>
              </w:rPr>
            </w:pPr>
            <w:r>
              <w:rPr>
                <w:i/>
                <w:iCs/>
                <w:sz w:val="20"/>
                <w:szCs w:val="20"/>
              </w:rPr>
              <w:t>Ê = m̂ĉ²</w:t>
            </w:r>
            <w:r>
              <w:rPr>
                <w:sz w:val="20"/>
                <w:szCs w:val="20"/>
              </w:rPr>
              <w:t xml:space="preserve"> (conditional on Axioms B1–B3)</w:t>
            </w:r>
          </w:p>
        </w:tc>
      </w:tr>
      <w:tr w:rsidR="004D2D6C" w:rsidRPr="00C651E7" w14:paraId="3468FD80"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A519C57" w14:textId="77777777" w:rsidR="004D2D6C" w:rsidRPr="00C651E7" w:rsidRDefault="00000000" w:rsidP="00C651E7">
            <w:pPr>
              <w:rPr>
                <w:sz w:val="20"/>
                <w:szCs w:val="20"/>
              </w:rPr>
            </w:pPr>
            <w:r>
              <w:rPr>
                <w:sz w:val="20"/>
                <w:szCs w:val="20"/>
              </w:rPr>
              <w:t>General relativity (curved)</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E7AD44" w14:textId="77777777" w:rsidR="004D2D6C" w:rsidRPr="00C651E7" w:rsidRDefault="00000000" w:rsidP="00C651E7">
            <w:pPr>
              <w:rPr>
                <w:sz w:val="20"/>
                <w:szCs w:val="20"/>
              </w:rPr>
            </w:pPr>
            <w:r>
              <w:rPr>
                <w:sz w:val="20"/>
                <w:szCs w:val="20"/>
              </w:rPr>
              <w:t>Curved 4D Riemannian-Lorentzian</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DEEE69D" w14:textId="77777777" w:rsidR="004D2D6C" w:rsidRPr="00C651E7" w:rsidRDefault="00000000" w:rsidP="00C651E7">
            <w:pPr>
              <w:rPr>
                <w:sz w:val="20"/>
                <w:szCs w:val="20"/>
              </w:rPr>
            </w:pPr>
            <w:r>
              <w:rPr>
                <w:sz w:val="20"/>
                <w:szCs w:val="20"/>
              </w:rPr>
              <w:t>Local mass density</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111F7DF" w14:textId="77777777" w:rsidR="004D2D6C" w:rsidRPr="00C651E7" w:rsidRDefault="00000000" w:rsidP="00C651E7">
            <w:pPr>
              <w:rPr>
                <w:sz w:val="20"/>
                <w:szCs w:val="20"/>
              </w:rPr>
            </w:pPr>
            <w:r>
              <w:rPr>
                <w:sz w:val="20"/>
                <w:szCs w:val="20"/>
              </w:rPr>
              <w:t>Local signal speed (gμν dependent)</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95EC99B" w14:textId="77777777" w:rsidR="004D2D6C" w:rsidRPr="00C651E7" w:rsidRDefault="00000000" w:rsidP="00C651E7">
            <w:pPr>
              <w:rPr>
                <w:sz w:val="20"/>
                <w:szCs w:val="20"/>
              </w:rPr>
            </w:pPr>
            <w:r>
              <w:rPr>
                <w:i/>
                <w:iCs/>
                <w:sz w:val="20"/>
                <w:szCs w:val="20"/>
              </w:rPr>
              <w:t>Ê = m̂ĉ²</w:t>
            </w:r>
            <w:r>
              <w:rPr>
                <w:sz w:val="20"/>
                <w:szCs w:val="20"/>
              </w:rPr>
              <w:t xml:space="preserve"> locally; modified globally</w:t>
            </w:r>
          </w:p>
        </w:tc>
      </w:tr>
      <w:tr w:rsidR="004D2D6C" w:rsidRPr="00C651E7" w14:paraId="46055A00"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D1F3B3" w14:textId="77777777" w:rsidR="004D2D6C" w:rsidRPr="00C651E7" w:rsidRDefault="00000000" w:rsidP="00C651E7">
            <w:pPr>
              <w:rPr>
                <w:sz w:val="20"/>
                <w:szCs w:val="20"/>
              </w:rPr>
            </w:pPr>
            <w:r>
              <w:rPr>
                <w:sz w:val="20"/>
                <w:szCs w:val="20"/>
              </w:rPr>
              <w:t>Quantum mechanics (general)</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37EF435" w14:textId="77777777" w:rsidR="004D2D6C" w:rsidRPr="00C651E7" w:rsidRDefault="00000000" w:rsidP="00C651E7">
            <w:pPr>
              <w:rPr>
                <w:sz w:val="20"/>
                <w:szCs w:val="20"/>
              </w:rPr>
            </w:pPr>
            <w:r>
              <w:rPr>
                <w:sz w:val="20"/>
                <w:szCs w:val="20"/>
              </w:rPr>
              <w:t>Hilbert space of states</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6B4CB3" w14:textId="77777777" w:rsidR="004D2D6C" w:rsidRPr="00C651E7" w:rsidRDefault="00000000" w:rsidP="00C651E7">
            <w:pPr>
              <w:rPr>
                <w:sz w:val="20"/>
                <w:szCs w:val="20"/>
              </w:rPr>
            </w:pPr>
            <w:r>
              <w:rPr>
                <w:sz w:val="20"/>
                <w:szCs w:val="20"/>
              </w:rPr>
              <w:t>Quantum Fisher information density Fᵀ</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6A58C1" w14:textId="77777777" w:rsidR="004D2D6C" w:rsidRPr="00C651E7" w:rsidRDefault="00000000" w:rsidP="00C651E7">
            <w:pPr>
              <w:rPr>
                <w:sz w:val="20"/>
                <w:szCs w:val="20"/>
              </w:rPr>
            </w:pPr>
            <w:r>
              <w:rPr>
                <w:sz w:val="20"/>
                <w:szCs w:val="20"/>
              </w:rPr>
              <w:t>Coherence propagation speed (ħ/m)</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DBA2E7" w14:textId="77777777" w:rsidR="004D2D6C" w:rsidRPr="00C651E7" w:rsidRDefault="00000000" w:rsidP="00C651E7">
            <w:pPr>
              <w:rPr>
                <w:sz w:val="20"/>
                <w:szCs w:val="20"/>
              </w:rPr>
            </w:pPr>
            <w:r>
              <w:rPr>
                <w:i/>
                <w:iCs/>
                <w:sz w:val="20"/>
                <w:szCs w:val="20"/>
              </w:rPr>
              <w:t>E = F</w:t>
            </w:r>
            <w:r>
              <w:rPr>
                <w:sz w:val="20"/>
                <w:szCs w:val="20"/>
              </w:rPr>
              <w:t>ᵀ · ħ²/m²; energetic basis of Cramér-Rao precision bound</w:t>
            </w:r>
          </w:p>
        </w:tc>
      </w:tr>
      <w:tr w:rsidR="004D2D6C" w:rsidRPr="00C651E7" w14:paraId="497A352E"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5A82EC" w14:textId="77777777" w:rsidR="004D2D6C" w:rsidRPr="00C651E7" w:rsidRDefault="00000000" w:rsidP="00C651E7">
            <w:pPr>
              <w:rPr>
                <w:sz w:val="20"/>
                <w:szCs w:val="20"/>
              </w:rPr>
            </w:pPr>
            <w:r>
              <w:rPr>
                <w:sz w:val="20"/>
                <w:szCs w:val="20"/>
              </w:rPr>
              <w:t>Thermodynamics</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95D782A" w14:textId="77777777" w:rsidR="004D2D6C" w:rsidRPr="00C651E7" w:rsidRDefault="00000000" w:rsidP="00C651E7">
            <w:pPr>
              <w:rPr>
                <w:sz w:val="20"/>
                <w:szCs w:val="20"/>
              </w:rPr>
            </w:pPr>
            <w:r>
              <w:rPr>
                <w:sz w:val="20"/>
                <w:szCs w:val="20"/>
              </w:rPr>
              <w:t>Phase space / Gibbs manifold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1D7DAB2" w14:textId="77777777" w:rsidR="004D2D6C" w:rsidRPr="00C651E7" w:rsidRDefault="00000000" w:rsidP="00C651E7">
            <w:pPr>
              <w:rPr>
                <w:sz w:val="20"/>
                <w:szCs w:val="20"/>
              </w:rPr>
            </w:pPr>
            <w:r>
              <w:rPr>
                <w:sz w:val="20"/>
                <w:szCs w:val="20"/>
              </w:rPr>
              <w:t>Fisher info of thermal distribution</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EDA6AC" w14:textId="77777777" w:rsidR="004D2D6C" w:rsidRPr="00C651E7" w:rsidRDefault="00000000" w:rsidP="00C651E7">
            <w:pPr>
              <w:rPr>
                <w:sz w:val="20"/>
                <w:szCs w:val="20"/>
              </w:rPr>
            </w:pPr>
            <w:r>
              <w:rPr>
                <w:sz w:val="20"/>
                <w:szCs w:val="20"/>
              </w:rPr>
              <w:t>Thermal velocity √(</w:t>
            </w:r>
            <w:r>
              <w:rPr>
                <w:i/>
                <w:iCs/>
                <w:sz w:val="20"/>
                <w:szCs w:val="20"/>
              </w:rPr>
              <w:t>kT</w:t>
            </w:r>
            <w:r>
              <w:rPr>
                <w:sz w:val="20"/>
                <w:szCs w:val="20"/>
              </w:rPr>
              <w:t>)</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81FDD52" w14:textId="77777777" w:rsidR="004D2D6C" w:rsidRPr="00C651E7" w:rsidRDefault="00000000" w:rsidP="00C651E7">
            <w:pPr>
              <w:rPr>
                <w:sz w:val="20"/>
                <w:szCs w:val="20"/>
              </w:rPr>
            </w:pPr>
            <w:r>
              <w:rPr>
                <w:i/>
                <w:iCs/>
                <w:sz w:val="20"/>
                <w:szCs w:val="20"/>
              </w:rPr>
              <w:t>E = kT</w:t>
            </w:r>
            <w:r>
              <w:rPr>
                <w:sz w:val="20"/>
                <w:szCs w:val="20"/>
              </w:rPr>
              <w:t xml:space="preserve"> · </w:t>
            </w:r>
            <w:r>
              <w:rPr>
                <w:i/>
                <w:iCs/>
                <w:sz w:val="20"/>
                <w:szCs w:val="20"/>
              </w:rPr>
              <w:t>I</w:t>
            </w:r>
            <w:r>
              <w:rPr>
                <w:sz w:val="20"/>
                <w:szCs w:val="20"/>
              </w:rPr>
              <w:t>ₚ (Landauer / Maxwell-Boltzmann)</w:t>
            </w:r>
          </w:p>
        </w:tc>
      </w:tr>
      <w:tr w:rsidR="004D2D6C" w:rsidRPr="00C651E7" w14:paraId="480051DF"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0570DDC" w14:textId="77777777" w:rsidR="004D2D6C" w:rsidRPr="00C651E7" w:rsidRDefault="00000000" w:rsidP="00C651E7">
            <w:pPr>
              <w:rPr>
                <w:sz w:val="20"/>
                <w:szCs w:val="20"/>
              </w:rPr>
            </w:pPr>
            <w:r>
              <w:rPr>
                <w:sz w:val="20"/>
                <w:szCs w:val="20"/>
              </w:rPr>
              <w:t>Condensed matter</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BB9D31" w14:textId="77777777" w:rsidR="004D2D6C" w:rsidRPr="00C651E7" w:rsidRDefault="000D6671" w:rsidP="00C651E7">
            <w:pPr>
              <w:rPr>
                <w:sz w:val="20"/>
                <w:szCs w:val="20"/>
              </w:rPr>
            </w:pPr>
            <w:r>
              <w:rPr>
                <w:sz w:val="20"/>
                <w:szCs w:val="20"/>
              </w:rPr>
              <w:t>Crystal/field lattice</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8A4CC5" w14:textId="77777777" w:rsidR="004D2D6C" w:rsidRPr="00C651E7" w:rsidRDefault="00000000" w:rsidP="00C651E7">
            <w:pPr>
              <w:rPr>
                <w:sz w:val="20"/>
                <w:szCs w:val="20"/>
              </w:rPr>
            </w:pPr>
            <w:r>
              <w:rPr>
                <w:sz w:val="20"/>
                <w:szCs w:val="20"/>
              </w:rPr>
              <w:t>Quasiparticle density of states</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2B017F4" w14:textId="77777777" w:rsidR="004D2D6C" w:rsidRPr="00C651E7" w:rsidRDefault="00000000" w:rsidP="00C651E7">
            <w:pPr>
              <w:rPr>
                <w:sz w:val="20"/>
                <w:szCs w:val="20"/>
              </w:rPr>
            </w:pPr>
            <w:r>
              <w:rPr>
                <w:sz w:val="20"/>
                <w:szCs w:val="20"/>
              </w:rPr>
              <w:t xml:space="preserve">Phonon / Fermi velocity </w:t>
            </w:r>
            <w:r>
              <w:rPr>
                <w:i/>
                <w:iCs/>
                <w:sz w:val="20"/>
                <w:szCs w:val="20"/>
              </w:rPr>
              <w:t>v</w:t>
            </w:r>
            <w:r>
              <w:rPr>
                <w:sz w:val="20"/>
                <w:szCs w:val="20"/>
              </w:rPr>
              <w:t>ᶠ</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893C52F" w14:textId="77777777" w:rsidR="004D2D6C" w:rsidRPr="00C651E7" w:rsidRDefault="00000000" w:rsidP="00C651E7">
            <w:pPr>
              <w:rPr>
                <w:sz w:val="20"/>
                <w:szCs w:val="20"/>
              </w:rPr>
            </w:pPr>
            <w:r>
              <w:rPr>
                <w:i/>
                <w:iCs/>
                <w:sz w:val="20"/>
                <w:szCs w:val="20"/>
              </w:rPr>
              <w:t>E = I</w:t>
            </w:r>
            <w:r>
              <w:rPr>
                <w:sz w:val="20"/>
                <w:szCs w:val="20"/>
              </w:rPr>
              <w:t xml:space="preserve">ₚ · </w:t>
            </w:r>
            <w:r>
              <w:rPr>
                <w:i/>
                <w:iCs/>
                <w:sz w:val="20"/>
                <w:szCs w:val="20"/>
              </w:rPr>
              <w:t>v</w:t>
            </w:r>
            <w:r>
              <w:rPr>
                <w:sz w:val="20"/>
                <w:szCs w:val="20"/>
              </w:rPr>
              <w:t>ᶠ²</w:t>
            </w:r>
          </w:p>
        </w:tc>
      </w:tr>
      <w:tr w:rsidR="004D2D6C" w:rsidRPr="00C651E7" w14:paraId="0C41A1CF"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51C1E3" w14:textId="77777777" w:rsidR="004D2D6C" w:rsidRPr="00C651E7" w:rsidRDefault="00000000" w:rsidP="00C651E7">
            <w:pPr>
              <w:rPr>
                <w:sz w:val="20"/>
                <w:szCs w:val="20"/>
              </w:rPr>
            </w:pPr>
            <w:r>
              <w:rPr>
                <w:sz w:val="20"/>
                <w:szCs w:val="20"/>
              </w:rPr>
              <w:t>Bose-Einstein condensate</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87EE32" w14:textId="77777777" w:rsidR="004D2D6C" w:rsidRPr="00C651E7" w:rsidRDefault="00000000" w:rsidP="00C651E7">
            <w:pPr>
              <w:rPr>
                <w:sz w:val="20"/>
                <w:szCs w:val="20"/>
              </w:rPr>
            </w:pPr>
            <w:r>
              <w:rPr>
                <w:sz w:val="20"/>
                <w:szCs w:val="20"/>
              </w:rPr>
              <w:t>Condensate order parameter manifold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C9A7A5" w14:textId="77777777" w:rsidR="004D2D6C" w:rsidRPr="00C651E7" w:rsidRDefault="00000000" w:rsidP="00C651E7">
            <w:pPr>
              <w:rPr>
                <w:sz w:val="20"/>
                <w:szCs w:val="20"/>
              </w:rPr>
            </w:pPr>
            <w:r>
              <w:rPr>
                <w:sz w:val="20"/>
                <w:szCs w:val="20"/>
              </w:rPr>
              <w:t>Coherence fraction</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311040" w14:textId="77777777" w:rsidR="004D2D6C" w:rsidRPr="00C651E7" w:rsidRDefault="00000000" w:rsidP="00C651E7">
            <w:pPr>
              <w:rPr>
                <w:sz w:val="20"/>
                <w:szCs w:val="20"/>
              </w:rPr>
            </w:pPr>
            <w:r>
              <w:rPr>
                <w:sz w:val="20"/>
                <w:szCs w:val="20"/>
              </w:rPr>
              <w:t>Sound speed (Bogoliubov)</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34940A3" w14:textId="77777777" w:rsidR="004D2D6C" w:rsidRPr="00C651E7" w:rsidRDefault="00000000" w:rsidP="00C651E7">
            <w:pPr>
              <w:rPr>
                <w:sz w:val="20"/>
                <w:szCs w:val="20"/>
              </w:rPr>
            </w:pPr>
            <w:r>
              <w:rPr>
                <w:sz w:val="20"/>
                <w:szCs w:val="20"/>
              </w:rPr>
              <w:t>Ground state energy</w:t>
            </w:r>
          </w:p>
        </w:tc>
      </w:tr>
      <w:tr w:rsidR="004D2D6C" w:rsidRPr="00C651E7" w14:paraId="122A8FD5"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E92797" w14:textId="77777777" w:rsidR="004D2D6C" w:rsidRPr="00C651E7" w:rsidRDefault="00000000" w:rsidP="00C651E7">
            <w:pPr>
              <w:rPr>
                <w:sz w:val="20"/>
                <w:szCs w:val="20"/>
              </w:rPr>
            </w:pPr>
            <w:r>
              <w:rPr>
                <w:sz w:val="20"/>
                <w:szCs w:val="20"/>
              </w:rPr>
              <w:t>Black hole thermodynamics</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A097D6" w14:textId="77777777" w:rsidR="004D2D6C" w:rsidRPr="00C651E7" w:rsidRDefault="00000000" w:rsidP="00C651E7">
            <w:pPr>
              <w:rPr>
                <w:sz w:val="20"/>
                <w:szCs w:val="20"/>
              </w:rPr>
            </w:pPr>
            <w:r>
              <w:rPr>
                <w:sz w:val="20"/>
                <w:szCs w:val="20"/>
              </w:rPr>
              <w:t>Horizon information manifold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EDA743" w14:textId="77777777" w:rsidR="004D2D6C" w:rsidRPr="00C651E7" w:rsidRDefault="00000000" w:rsidP="00C651E7">
            <w:pPr>
              <w:rPr>
                <w:sz w:val="20"/>
                <w:szCs w:val="20"/>
              </w:rPr>
            </w:pPr>
            <w:r>
              <w:rPr>
                <w:sz w:val="20"/>
                <w:szCs w:val="20"/>
              </w:rPr>
              <w:t>Bekenstein entropy density</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3689DB" w14:textId="77777777" w:rsidR="004D2D6C" w:rsidRPr="00C651E7" w:rsidRDefault="00000000" w:rsidP="00C651E7">
            <w:pPr>
              <w:rPr>
                <w:sz w:val="20"/>
                <w:szCs w:val="20"/>
              </w:rPr>
            </w:pPr>
            <w:r>
              <w:rPr>
                <w:sz w:val="20"/>
                <w:szCs w:val="20"/>
              </w:rPr>
              <w:t>Hawking temperature / Planck scale</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539291" w14:textId="77777777" w:rsidR="004D2D6C" w:rsidRPr="00C651E7" w:rsidRDefault="00000000" w:rsidP="00C651E7">
            <w:pPr>
              <w:rPr>
                <w:sz w:val="20"/>
                <w:szCs w:val="20"/>
              </w:rPr>
            </w:pPr>
            <w:r>
              <w:rPr>
                <w:sz w:val="20"/>
                <w:szCs w:val="20"/>
              </w:rPr>
              <w:t>S = A/4</w:t>
            </w:r>
            <w:r>
              <w:rPr>
                <w:i/>
                <w:iCs/>
                <w:sz w:val="20"/>
                <w:szCs w:val="20"/>
              </w:rPr>
              <w:t>l</w:t>
            </w:r>
            <w:r>
              <w:rPr>
                <w:sz w:val="20"/>
                <w:szCs w:val="20"/>
              </w:rPr>
              <w:t>ₚ²</w:t>
            </w:r>
          </w:p>
        </w:tc>
      </w:tr>
      <w:tr w:rsidR="004D2D6C" w:rsidRPr="00C651E7" w14:paraId="6178A503"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5DC98FA" w14:textId="77777777" w:rsidR="004D2D6C" w:rsidRPr="00C651E7" w:rsidRDefault="000D6671" w:rsidP="00C651E7">
            <w:pPr>
              <w:rPr>
                <w:sz w:val="20"/>
                <w:szCs w:val="20"/>
              </w:rPr>
            </w:pPr>
            <w:r>
              <w:rPr>
                <w:sz w:val="20"/>
                <w:szCs w:val="20"/>
              </w:rPr>
              <w:t>Biological/ autopoietic</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E563F1" w14:textId="77777777" w:rsidR="004D2D6C" w:rsidRPr="00C651E7" w:rsidRDefault="00000000" w:rsidP="00C651E7">
            <w:pPr>
              <w:rPr>
                <w:sz w:val="20"/>
                <w:szCs w:val="20"/>
              </w:rPr>
            </w:pPr>
            <w:r>
              <w:rPr>
                <w:sz w:val="20"/>
                <w:szCs w:val="20"/>
              </w:rPr>
              <w:t>Metabolic network manifold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D380C70" w14:textId="77777777" w:rsidR="004D2D6C" w:rsidRPr="00C651E7" w:rsidRDefault="00000000" w:rsidP="00C651E7">
            <w:pPr>
              <w:rPr>
                <w:sz w:val="20"/>
                <w:szCs w:val="20"/>
              </w:rPr>
            </w:pPr>
            <w:r>
              <w:rPr>
                <w:sz w:val="20"/>
                <w:szCs w:val="20"/>
              </w:rPr>
              <w:t>Organismal Fisher info (regulatory precision)</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41F023" w14:textId="77777777" w:rsidR="004D2D6C" w:rsidRPr="00C651E7" w:rsidRDefault="00000000" w:rsidP="00C651E7">
            <w:pPr>
              <w:rPr>
                <w:sz w:val="20"/>
                <w:szCs w:val="20"/>
              </w:rPr>
            </w:pPr>
            <w:r>
              <w:rPr>
                <w:sz w:val="20"/>
                <w:szCs w:val="20"/>
              </w:rPr>
              <w:t>Neural/chemical signal speed</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EA66B8B" w14:textId="77777777" w:rsidR="004D2D6C" w:rsidRPr="00C651E7" w:rsidRDefault="00000000" w:rsidP="00C651E7">
            <w:pPr>
              <w:rPr>
                <w:sz w:val="20"/>
                <w:szCs w:val="20"/>
              </w:rPr>
            </w:pPr>
            <w:r>
              <w:rPr>
                <w:sz w:val="20"/>
                <w:szCs w:val="20"/>
              </w:rPr>
              <w:t>Metabolic energy cost of enacted existence</w:t>
            </w:r>
          </w:p>
        </w:tc>
      </w:tr>
      <w:tr w:rsidR="004D2D6C" w:rsidRPr="00C651E7" w14:paraId="0A0636A9"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C5F450B" w14:textId="77777777" w:rsidR="004D2D6C" w:rsidRPr="00C651E7" w:rsidRDefault="00000000" w:rsidP="00C651E7">
            <w:pPr>
              <w:rPr>
                <w:sz w:val="20"/>
                <w:szCs w:val="20"/>
              </w:rPr>
            </w:pPr>
            <w:r>
              <w:rPr>
                <w:sz w:val="20"/>
                <w:szCs w:val="20"/>
              </w:rPr>
              <w:t>Cognitive / enactive</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E8B8D9" w14:textId="77777777" w:rsidR="004D2D6C" w:rsidRPr="00C651E7" w:rsidRDefault="00000000" w:rsidP="00C651E7">
            <w:pPr>
              <w:rPr>
                <w:sz w:val="20"/>
                <w:szCs w:val="20"/>
              </w:rPr>
            </w:pPr>
            <w:r>
              <w:rPr>
                <w:sz w:val="20"/>
                <w:szCs w:val="20"/>
              </w:rPr>
              <w:t>Neural information manifold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4082E6F" w14:textId="77777777" w:rsidR="004D2D6C" w:rsidRPr="00C651E7" w:rsidRDefault="00000000" w:rsidP="00C651E7">
            <w:pPr>
              <w:rPr>
                <w:sz w:val="20"/>
                <w:szCs w:val="20"/>
              </w:rPr>
            </w:pPr>
            <w:r>
              <w:rPr>
                <w:sz w:val="20"/>
                <w:szCs w:val="20"/>
              </w:rPr>
              <w:t>Cognitive Fisher information</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8EA0462" w14:textId="77777777" w:rsidR="004D2D6C" w:rsidRPr="00C651E7" w:rsidRDefault="00000000" w:rsidP="00C651E7">
            <w:pPr>
              <w:rPr>
                <w:sz w:val="20"/>
                <w:szCs w:val="20"/>
              </w:rPr>
            </w:pPr>
            <w:r>
              <w:rPr>
                <w:sz w:val="20"/>
                <w:szCs w:val="20"/>
              </w:rPr>
              <w:t>Neural propagation speed</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B6F5F2" w14:textId="77777777" w:rsidR="004D2D6C" w:rsidRPr="00C651E7" w:rsidRDefault="00000000" w:rsidP="00C651E7">
            <w:pPr>
              <w:rPr>
                <w:sz w:val="20"/>
                <w:szCs w:val="20"/>
              </w:rPr>
            </w:pPr>
            <w:r>
              <w:rPr>
                <w:sz w:val="20"/>
                <w:szCs w:val="20"/>
              </w:rPr>
              <w:t>Neural energy cost of maintaining coherence</w:t>
            </w:r>
          </w:p>
        </w:tc>
      </w:tr>
      <w:tr w:rsidR="004D2D6C" w:rsidRPr="00C651E7" w14:paraId="44894A5D"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6B9A88" w14:textId="77777777" w:rsidR="004D2D6C" w:rsidRPr="00C651E7" w:rsidRDefault="00000000" w:rsidP="00C651E7">
            <w:pPr>
              <w:rPr>
                <w:sz w:val="20"/>
                <w:szCs w:val="20"/>
              </w:rPr>
            </w:pPr>
            <w:r>
              <w:rPr>
                <w:sz w:val="20"/>
                <w:szCs w:val="20"/>
              </w:rPr>
              <w:lastRenderedPageBreak/>
              <w:t>Organisational (Beer VSM)</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A142287" w14:textId="77777777" w:rsidR="004D2D6C" w:rsidRPr="00C651E7" w:rsidRDefault="00000000" w:rsidP="00C651E7">
            <w:pPr>
              <w:rPr>
                <w:sz w:val="20"/>
                <w:szCs w:val="20"/>
              </w:rPr>
            </w:pPr>
            <w:r>
              <w:rPr>
                <w:sz w:val="20"/>
                <w:szCs w:val="20"/>
              </w:rPr>
              <w:t>Variety manifold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17D8E0D" w14:textId="77777777" w:rsidR="004D2D6C" w:rsidRPr="00C651E7" w:rsidRDefault="00000000" w:rsidP="00C651E7">
            <w:pPr>
              <w:rPr>
                <w:sz w:val="20"/>
                <w:szCs w:val="20"/>
              </w:rPr>
            </w:pPr>
            <w:r>
              <w:rPr>
                <w:sz w:val="20"/>
                <w:szCs w:val="20"/>
              </w:rPr>
              <w:t>Requisite variety (Ashby)</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BF6FF9" w14:textId="77777777" w:rsidR="004D2D6C" w:rsidRPr="00C651E7" w:rsidRDefault="00000000" w:rsidP="00C651E7">
            <w:pPr>
              <w:rPr>
                <w:sz w:val="20"/>
                <w:szCs w:val="20"/>
              </w:rPr>
            </w:pPr>
            <w:r>
              <w:rPr>
                <w:sz w:val="20"/>
                <w:szCs w:val="20"/>
              </w:rPr>
              <w:t>Information transmission rate</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3788D6" w14:textId="77777777" w:rsidR="004D2D6C" w:rsidRPr="00C651E7" w:rsidRDefault="00000000" w:rsidP="00C651E7">
            <w:pPr>
              <w:rPr>
                <w:sz w:val="20"/>
                <w:szCs w:val="20"/>
              </w:rPr>
            </w:pPr>
            <w:r>
              <w:rPr>
                <w:sz w:val="20"/>
                <w:szCs w:val="20"/>
              </w:rPr>
              <w:t>Organisational energy/management cost</w:t>
            </w:r>
          </w:p>
        </w:tc>
      </w:tr>
      <w:tr w:rsidR="004D2D6C" w:rsidRPr="00C651E7" w14:paraId="7695EECC"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1F6BCB5" w14:textId="77777777" w:rsidR="004D2D6C" w:rsidRPr="00C651E7" w:rsidRDefault="000D6671" w:rsidP="00C651E7">
            <w:pPr>
              <w:rPr>
                <w:sz w:val="20"/>
                <w:szCs w:val="20"/>
              </w:rPr>
            </w:pPr>
            <w:r>
              <w:rPr>
                <w:sz w:val="20"/>
                <w:szCs w:val="20"/>
              </w:rPr>
              <w:t>Social/political</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1B24D4F" w14:textId="77777777" w:rsidR="004D2D6C" w:rsidRPr="00C651E7" w:rsidRDefault="00000000" w:rsidP="00C651E7">
            <w:pPr>
              <w:rPr>
                <w:sz w:val="20"/>
                <w:szCs w:val="20"/>
              </w:rPr>
            </w:pPr>
            <w:r>
              <w:rPr>
                <w:sz w:val="20"/>
                <w:szCs w:val="20"/>
              </w:rPr>
              <w:t>Social information field</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4CBC92" w14:textId="77777777" w:rsidR="004D2D6C" w:rsidRPr="00C651E7" w:rsidRDefault="00000000" w:rsidP="00C651E7">
            <w:pPr>
              <w:rPr>
                <w:sz w:val="20"/>
                <w:szCs w:val="20"/>
              </w:rPr>
            </w:pPr>
            <w:r>
              <w:rPr>
                <w:sz w:val="20"/>
                <w:szCs w:val="20"/>
              </w:rPr>
              <w:t>Social coherence density</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AEB03F4" w14:textId="77777777" w:rsidR="004D2D6C" w:rsidRPr="00C651E7" w:rsidRDefault="00000000" w:rsidP="00C651E7">
            <w:pPr>
              <w:rPr>
                <w:sz w:val="20"/>
                <w:szCs w:val="20"/>
              </w:rPr>
            </w:pPr>
            <w:r>
              <w:rPr>
                <w:sz w:val="20"/>
                <w:szCs w:val="20"/>
              </w:rPr>
              <w:t>Cultural propagation speed</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5039C75" w14:textId="77777777" w:rsidR="004D2D6C" w:rsidRPr="00C651E7" w:rsidRDefault="00000000" w:rsidP="00C651E7">
            <w:pPr>
              <w:rPr>
                <w:sz w:val="20"/>
                <w:szCs w:val="20"/>
              </w:rPr>
            </w:pPr>
            <w:r>
              <w:rPr>
                <w:sz w:val="20"/>
                <w:szCs w:val="20"/>
              </w:rPr>
              <w:t>Cost of maintaining social order</w:t>
            </w:r>
          </w:p>
        </w:tc>
      </w:tr>
      <w:tr w:rsidR="004D2D6C" w:rsidRPr="00C651E7" w14:paraId="60A71562" w14:textId="77777777" w:rsidTr="00B97E67">
        <w:tc>
          <w:tcPr>
            <w:tcW w:w="18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0F6EE16" w14:textId="77777777" w:rsidR="004D2D6C" w:rsidRPr="00C651E7" w:rsidRDefault="000D6671" w:rsidP="00C651E7">
            <w:pPr>
              <w:rPr>
                <w:sz w:val="20"/>
                <w:szCs w:val="20"/>
              </w:rPr>
            </w:pPr>
            <w:r>
              <w:rPr>
                <w:sz w:val="20"/>
                <w:szCs w:val="20"/>
              </w:rPr>
              <w:t>Cosmological/inflationary</w:t>
            </w:r>
          </w:p>
        </w:tc>
        <w:tc>
          <w:tcPr>
            <w:tcW w:w="19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18A413" w14:textId="77777777" w:rsidR="004D2D6C" w:rsidRPr="00C651E7" w:rsidRDefault="00000000" w:rsidP="00C651E7">
            <w:pPr>
              <w:rPr>
                <w:sz w:val="20"/>
                <w:szCs w:val="20"/>
              </w:rPr>
            </w:pPr>
            <w:r>
              <w:rPr>
                <w:sz w:val="20"/>
                <w:szCs w:val="20"/>
              </w:rPr>
              <w:t>Primordial quantum vacuum</w:t>
            </w:r>
          </w:p>
        </w:tc>
        <w:tc>
          <w:tcPr>
            <w:tcW w:w="15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5B3DE6" w14:textId="77777777" w:rsidR="004D2D6C" w:rsidRPr="00C651E7" w:rsidRDefault="00000000" w:rsidP="00C651E7">
            <w:pPr>
              <w:rPr>
                <w:sz w:val="20"/>
                <w:szCs w:val="20"/>
              </w:rPr>
            </w:pPr>
            <w:r>
              <w:rPr>
                <w:sz w:val="20"/>
                <w:szCs w:val="20"/>
              </w:rPr>
              <w:t>Vacuum fluctuation density</w:t>
            </w:r>
          </w:p>
        </w:tc>
        <w:tc>
          <w:tcPr>
            <w:tcW w:w="1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6287F6" w14:textId="77777777" w:rsidR="004D2D6C" w:rsidRPr="00C651E7" w:rsidRDefault="00000000" w:rsidP="00C651E7">
            <w:pPr>
              <w:rPr>
                <w:sz w:val="20"/>
                <w:szCs w:val="20"/>
              </w:rPr>
            </w:pPr>
            <w:r>
              <w:rPr>
                <w:sz w:val="20"/>
                <w:szCs w:val="20"/>
              </w:rPr>
              <w:t>Inflationary propagation speed</w:t>
            </w:r>
          </w:p>
        </w:tc>
        <w:tc>
          <w:tcPr>
            <w:tcW w:w="23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2068EF4" w14:textId="77777777" w:rsidR="004D2D6C" w:rsidRPr="00C651E7" w:rsidRDefault="00000000" w:rsidP="00C651E7">
            <w:pPr>
              <w:rPr>
                <w:sz w:val="20"/>
                <w:szCs w:val="20"/>
              </w:rPr>
            </w:pPr>
            <w:r>
              <w:rPr>
                <w:sz w:val="20"/>
                <w:szCs w:val="20"/>
              </w:rPr>
              <w:t>Inflationary energy density</w:t>
            </w:r>
          </w:p>
        </w:tc>
      </w:tr>
    </w:tbl>
    <w:p w14:paraId="04EC3C47" w14:textId="77777777" w:rsidR="004D2D6C" w:rsidRPr="00C651E7" w:rsidRDefault="00000000" w:rsidP="00C651E7">
      <w:pPr>
        <w:spacing w:before="80" w:after="200"/>
        <w:jc w:val="center"/>
        <w:rPr>
          <w:sz w:val="22"/>
          <w:szCs w:val="22"/>
        </w:rPr>
      </w:pPr>
      <w:r>
        <w:rPr>
          <w:sz w:val="22"/>
          <w:szCs w:val="22"/>
        </w:rPr>
        <w:t>Table A: Direct freezing projections of the coercivity law across twelve corporeal domains.</w:t>
      </w:r>
    </w:p>
    <w:p w14:paraId="75D123F1" w14:textId="77777777" w:rsidR="00F1709B" w:rsidRPr="00B97E67" w:rsidRDefault="00B97E67">
      <w:pPr>
        <w:spacing w:before="80" w:after="160"/>
        <w:jc w:val="both"/>
        <w:rPr>
          <w:iCs/>
          <w:sz w:val="22"/>
          <w:szCs w:val="22"/>
        </w:rPr>
      </w:pPr>
      <w:r>
        <w:rPr>
          <w:iCs/>
          <w:color w:val="1A1A1A"/>
          <w:sz w:val="22"/>
          <w:szCs w:val="22"/>
        </w:rPr>
        <w:t>It is useful here for clarification to note that in the thermodynamics row (</w:t>
      </w:r>
      <w:r>
        <w:rPr>
          <w:i/>
          <w:color w:val="1A1A1A"/>
          <w:sz w:val="22"/>
          <w:szCs w:val="22"/>
        </w:rPr>
        <w:t>c</w:t>
      </w:r>
      <w:r>
        <w:rPr>
          <w:iCs/>
          <w:color w:val="1A1A1A"/>
          <w:sz w:val="22"/>
          <w:szCs w:val="22"/>
        </w:rPr>
        <w:t xml:space="preserve">-identification), the c-identification </w:t>
      </w:r>
      <w:r>
        <w:rPr>
          <w:i/>
          <w:color w:val="1A1A1A"/>
          <w:sz w:val="22"/>
          <w:szCs w:val="22"/>
        </w:rPr>
        <w:t>c → √</w:t>
      </w:r>
      <w:r>
        <w:rPr>
          <w:iCs/>
          <w:color w:val="1A1A1A"/>
          <w:sz w:val="22"/>
          <w:szCs w:val="22"/>
        </w:rPr>
        <w:t>(</w:t>
      </w:r>
      <w:r>
        <w:rPr>
          <w:i/>
          <w:color w:val="1A1A1A"/>
          <w:sz w:val="22"/>
          <w:szCs w:val="22"/>
        </w:rPr>
        <w:t>kT</w:t>
      </w:r>
      <w:r>
        <w:rPr>
          <w:iCs/>
          <w:color w:val="1A1A1A"/>
          <w:sz w:val="22"/>
          <w:szCs w:val="22"/>
        </w:rPr>
        <w:t>) (rather than √(</w:t>
      </w:r>
      <w:r>
        <w:rPr>
          <w:i/>
          <w:color w:val="1A1A1A"/>
          <w:sz w:val="22"/>
          <w:szCs w:val="22"/>
        </w:rPr>
        <w:t>kT/m</w:t>
      </w:r>
      <w:r>
        <w:rPr>
          <w:iCs/>
          <w:color w:val="1A1A1A"/>
          <w:sz w:val="22"/>
          <w:szCs w:val="22"/>
        </w:rPr>
        <w:t xml:space="preserve">)) ensures dimensional closure under </w:t>
      </w:r>
      <w:r>
        <w:rPr>
          <w:i/>
          <w:color w:val="1A1A1A"/>
          <w:sz w:val="22"/>
          <w:szCs w:val="22"/>
        </w:rPr>
        <w:t>E = I</w:t>
      </w:r>
      <w:r>
        <w:rPr>
          <w:iCs/>
          <w:color w:val="1A1A1A"/>
          <w:sz w:val="22"/>
          <w:szCs w:val="22"/>
          <w:vertAlign w:val="subscript"/>
        </w:rPr>
        <w:t>p</w:t>
      </w:r>
      <w:r>
        <w:rPr>
          <w:i/>
          <w:color w:val="1A1A1A"/>
          <w:sz w:val="22"/>
          <w:szCs w:val="22"/>
        </w:rPr>
        <w:t>c</w:t>
      </w:r>
      <w:r>
        <w:rPr>
          <w:iCs/>
          <w:color w:val="1A1A1A"/>
          <w:sz w:val="22"/>
          <w:szCs w:val="22"/>
        </w:rPr>
        <w:t xml:space="preserve">². With this identification, </w:t>
      </w:r>
      <w:r>
        <w:rPr>
          <w:i/>
          <w:color w:val="1A1A1A"/>
          <w:sz w:val="22"/>
          <w:szCs w:val="22"/>
        </w:rPr>
        <w:t>c</w:t>
      </w:r>
      <w:r>
        <w:rPr>
          <w:iCs/>
          <w:color w:val="1A1A1A"/>
          <w:sz w:val="22"/>
          <w:szCs w:val="22"/>
        </w:rPr>
        <w:t>² → </w:t>
      </w:r>
      <w:r>
        <w:rPr>
          <w:i/>
          <w:color w:val="1A1A1A"/>
          <w:sz w:val="22"/>
          <w:szCs w:val="22"/>
        </w:rPr>
        <w:t>kT</w:t>
      </w:r>
      <w:r>
        <w:rPr>
          <w:iCs/>
          <w:color w:val="1A1A1A"/>
          <w:sz w:val="22"/>
          <w:szCs w:val="22"/>
        </w:rPr>
        <w:t xml:space="preserve"> and the resulting law </w:t>
      </w:r>
      <w:r>
        <w:rPr>
          <w:i/>
          <w:color w:val="1A1A1A"/>
          <w:sz w:val="22"/>
          <w:szCs w:val="22"/>
        </w:rPr>
        <w:t>E</w:t>
      </w:r>
      <w:r>
        <w:rPr>
          <w:iCs/>
          <w:color w:val="1A1A1A"/>
          <w:sz w:val="22"/>
          <w:szCs w:val="22"/>
        </w:rPr>
        <w:t> = </w:t>
      </w:r>
      <w:r>
        <w:rPr>
          <w:i/>
          <w:color w:val="1A1A1A"/>
          <w:sz w:val="22"/>
          <w:szCs w:val="22"/>
        </w:rPr>
        <w:t>I</w:t>
      </w:r>
      <w:r>
        <w:rPr>
          <w:iCs/>
          <w:color w:val="1A1A1A"/>
          <w:sz w:val="22"/>
          <w:szCs w:val="22"/>
        </w:rPr>
        <w:t>ₚ·</w:t>
      </w:r>
      <w:r>
        <w:rPr>
          <w:i/>
          <w:color w:val="1A1A1A"/>
          <w:sz w:val="22"/>
          <w:szCs w:val="22"/>
        </w:rPr>
        <w:t>kT</w:t>
      </w:r>
      <w:r>
        <w:rPr>
          <w:iCs/>
          <w:color w:val="1A1A1A"/>
          <w:sz w:val="22"/>
          <w:szCs w:val="22"/>
        </w:rPr>
        <w:t xml:space="preserve"> recovers the Landauer–Maxwell–Boltzmann scale correctly. The mass factor m, where relevant (e.g. kinetic-theory contexts), enters through the domain-specific expression of </w:t>
      </w:r>
      <w:r>
        <w:rPr>
          <w:i/>
          <w:color w:val="1A1A1A"/>
          <w:sz w:val="22"/>
          <w:szCs w:val="22"/>
        </w:rPr>
        <w:t>I</w:t>
      </w:r>
      <w:r>
        <w:rPr>
          <w:iCs/>
          <w:color w:val="1A1A1A"/>
          <w:sz w:val="22"/>
          <w:szCs w:val="22"/>
        </w:rPr>
        <w:t>ₚ rather than through the c-identification. The condensed-matter row (</w:t>
      </w:r>
      <w:r>
        <w:rPr>
          <w:i/>
          <w:color w:val="1A1A1A"/>
          <w:sz w:val="22"/>
          <w:szCs w:val="22"/>
        </w:rPr>
        <w:t>c → vF</w:t>
      </w:r>
      <w:r>
        <w:rPr>
          <w:iCs/>
          <w:color w:val="1A1A1A"/>
          <w:sz w:val="22"/>
          <w:szCs w:val="22"/>
        </w:rPr>
        <w:t xml:space="preserve">, </w:t>
      </w:r>
      <w:r>
        <w:rPr>
          <w:i/>
          <w:color w:val="1A1A1A"/>
          <w:sz w:val="22"/>
          <w:szCs w:val="22"/>
        </w:rPr>
        <w:t>E = I</w:t>
      </w:r>
      <w:r>
        <w:rPr>
          <w:iCs/>
          <w:color w:val="1A1A1A"/>
          <w:sz w:val="22"/>
          <w:szCs w:val="22"/>
        </w:rPr>
        <w:t>ₚ·</w:t>
      </w:r>
      <w:r>
        <w:rPr>
          <w:i/>
          <w:color w:val="1A1A1A"/>
          <w:sz w:val="22"/>
          <w:szCs w:val="22"/>
        </w:rPr>
        <w:t>vF</w:t>
      </w:r>
      <w:r>
        <w:rPr>
          <w:iCs/>
          <w:color w:val="1A1A1A"/>
          <w:sz w:val="22"/>
          <w:szCs w:val="22"/>
        </w:rPr>
        <w:t>²) and the relativistic row (</w:t>
      </w:r>
      <w:r>
        <w:rPr>
          <w:i/>
          <w:color w:val="1A1A1A"/>
          <w:sz w:val="22"/>
          <w:szCs w:val="22"/>
        </w:rPr>
        <w:t>c</w:t>
      </w:r>
      <w:r>
        <w:rPr>
          <w:iCs/>
          <w:color w:val="1A1A1A"/>
          <w:sz w:val="22"/>
          <w:szCs w:val="22"/>
        </w:rPr>
        <w:t> → </w:t>
      </w:r>
      <w:r>
        <w:rPr>
          <w:i/>
          <w:color w:val="1A1A1A"/>
          <w:sz w:val="22"/>
          <w:szCs w:val="22"/>
        </w:rPr>
        <w:t>ĉ</w:t>
      </w:r>
      <w:r>
        <w:rPr>
          <w:iCs/>
          <w:color w:val="1A1A1A"/>
          <w:sz w:val="22"/>
          <w:szCs w:val="22"/>
        </w:rPr>
        <w:t xml:space="preserve">, </w:t>
      </w:r>
      <w:r>
        <w:rPr>
          <w:i/>
          <w:color w:val="1A1A1A"/>
          <w:sz w:val="22"/>
          <w:szCs w:val="22"/>
        </w:rPr>
        <w:t>E = mc</w:t>
      </w:r>
      <w:r>
        <w:rPr>
          <w:iCs/>
          <w:color w:val="1A1A1A"/>
          <w:sz w:val="22"/>
          <w:szCs w:val="22"/>
        </w:rPr>
        <w:t>²) are unchanged and close correctly.</w:t>
      </w:r>
    </w:p>
    <w:p w14:paraId="735CBE92" w14:textId="77777777" w:rsidR="004D2D6C" w:rsidRPr="00C651E7" w:rsidRDefault="00000000">
      <w:pPr>
        <w:spacing w:after="160" w:line="276" w:lineRule="auto"/>
        <w:jc w:val="both"/>
        <w:rPr>
          <w:sz w:val="22"/>
          <w:szCs w:val="22"/>
        </w:rPr>
      </w:pPr>
      <w:r>
        <w:rPr>
          <w:b/>
          <w:bCs/>
          <w:sz w:val="22"/>
          <w:szCs w:val="22"/>
        </w:rPr>
        <w:t>Constitutional Persistence Cycle Derivations</w:t>
      </w:r>
    </w:p>
    <w:p w14:paraId="4807E824" w14:textId="77777777" w:rsidR="004D2D6C" w:rsidRPr="00C651E7" w:rsidRDefault="00000000">
      <w:pPr>
        <w:spacing w:after="160" w:line="276" w:lineRule="auto"/>
        <w:jc w:val="both"/>
        <w:rPr>
          <w:sz w:val="22"/>
          <w:szCs w:val="22"/>
        </w:rPr>
      </w:pPr>
      <w:r>
        <w:rPr>
          <w:sz w:val="22"/>
          <w:szCs w:val="22"/>
        </w:rPr>
        <w:t>The equations in Table B are not reached by a direct freezing projection of E = Iₚc². They emerge through the full recursive dynamics of the Constitutional Persistence Cycle (CPC): Łojasiewicz rigidity lock forces the information manifold to a geometric singularity; Berezin-Pfaffian entity collapse reduces the algebraic cycle; and Picard-Lefschetz monodromy performs a topological reset, restoring K-field coherence on a modified base manifold. This reset enables a persistent random walk model, ballistic segments with Poisson reversals, whose governing equation is the telegrapher's equation (Goldstein, 1951; Kac, 1956; Kac, 1974; Nelson, 1966; Nelson, 1984):</w:t>
      </w:r>
    </w:p>
    <w:p w14:paraId="726185B7" w14:textId="77777777" w:rsidR="004D2D6C" w:rsidRPr="00C651E7" w:rsidRDefault="00000000">
      <w:pPr>
        <w:spacing w:before="120" w:after="120"/>
        <w:jc w:val="center"/>
        <w:rPr>
          <w:sz w:val="22"/>
          <w:szCs w:val="22"/>
        </w:rPr>
      </w:pPr>
      <w:r>
        <w:rPr>
          <w:i/>
          <w:iCs/>
          <w:sz w:val="22"/>
          <w:szCs w:val="22"/>
        </w:rPr>
        <w:t>∂ₜₜρ + 2λ∂ₜρ = c²∂ₓₓρ.</w:t>
      </w:r>
      <w:r>
        <w:rPr>
          <w:sz w:val="22"/>
          <w:szCs w:val="22"/>
        </w:rPr>
        <w:t xml:space="preserve">    (12)</w:t>
      </w:r>
    </w:p>
    <w:p w14:paraId="2253B91D" w14:textId="77777777" w:rsidR="004D2D6C" w:rsidRPr="00C651E7" w:rsidRDefault="00000000">
      <w:pPr>
        <w:spacing w:after="160" w:line="276" w:lineRule="auto"/>
        <w:jc w:val="both"/>
        <w:rPr>
          <w:sz w:val="22"/>
          <w:szCs w:val="22"/>
        </w:rPr>
      </w:pPr>
      <w:r>
        <w:rPr>
          <w:sz w:val="22"/>
          <w:szCs w:val="22"/>
        </w:rPr>
        <w:t>This equation is the common ancestor. Three limiting cases follow, depending on which corporeal domain the system inhabits, and each of those limiting cases itself projects across multiple domains, quantum, classical, and social, by the same freezing logic as Table 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00"/>
        <w:gridCol w:w="2200"/>
        <w:gridCol w:w="1700"/>
        <w:gridCol w:w="1700"/>
        <w:gridCol w:w="2060"/>
      </w:tblGrid>
      <w:tr w:rsidR="004D2D6C" w:rsidRPr="00C651E7" w14:paraId="34F9C400" w14:textId="77777777">
        <w:trPr>
          <w:tblHeader/>
        </w:trPr>
        <w:tc>
          <w:tcPr>
            <w:tcW w:w="170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00F15C4A" w14:textId="77777777" w:rsidR="004D2D6C" w:rsidRPr="00C651E7" w:rsidRDefault="00000000">
            <w:pPr>
              <w:rPr>
                <w:sz w:val="20"/>
                <w:szCs w:val="20"/>
              </w:rPr>
            </w:pPr>
            <w:r>
              <w:rPr>
                <w:b/>
                <w:bCs/>
                <w:sz w:val="20"/>
                <w:szCs w:val="20"/>
              </w:rPr>
              <w:t>Equation</w:t>
            </w:r>
          </w:p>
        </w:tc>
        <w:tc>
          <w:tcPr>
            <w:tcW w:w="220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466E32B0" w14:textId="77777777" w:rsidR="004D2D6C" w:rsidRPr="00C651E7" w:rsidRDefault="00000000">
            <w:pPr>
              <w:rPr>
                <w:sz w:val="20"/>
                <w:szCs w:val="20"/>
              </w:rPr>
            </w:pPr>
            <w:r>
              <w:rPr>
                <w:b/>
                <w:bCs/>
                <w:sz w:val="20"/>
                <w:szCs w:val="20"/>
              </w:rPr>
              <w:t>Derivation path from CPC</w:t>
            </w:r>
          </w:p>
        </w:tc>
        <w:tc>
          <w:tcPr>
            <w:tcW w:w="170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0C9B5F6F" w14:textId="77777777" w:rsidR="004D2D6C" w:rsidRPr="00C651E7" w:rsidRDefault="00000000">
            <w:pPr>
              <w:rPr>
                <w:sz w:val="20"/>
                <w:szCs w:val="20"/>
              </w:rPr>
            </w:pPr>
            <w:r>
              <w:rPr>
                <w:b/>
                <w:bCs/>
                <w:sz w:val="20"/>
                <w:szCs w:val="20"/>
              </w:rPr>
              <w:t>Quantum domain</w:t>
            </w:r>
          </w:p>
        </w:tc>
        <w:tc>
          <w:tcPr>
            <w:tcW w:w="170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3FA8EDEE" w14:textId="77777777" w:rsidR="004D2D6C" w:rsidRPr="00C651E7" w:rsidRDefault="00000000">
            <w:pPr>
              <w:rPr>
                <w:sz w:val="20"/>
                <w:szCs w:val="20"/>
              </w:rPr>
            </w:pPr>
            <w:r>
              <w:rPr>
                <w:b/>
                <w:bCs/>
                <w:sz w:val="20"/>
                <w:szCs w:val="20"/>
              </w:rPr>
              <w:t>Classical domain</w:t>
            </w:r>
          </w:p>
        </w:tc>
        <w:tc>
          <w:tcPr>
            <w:tcW w:w="206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4EBC9DAD" w14:textId="77777777" w:rsidR="004D2D6C" w:rsidRPr="00C651E7" w:rsidRDefault="00000000">
            <w:pPr>
              <w:rPr>
                <w:sz w:val="20"/>
                <w:szCs w:val="20"/>
              </w:rPr>
            </w:pPr>
            <w:r>
              <w:rPr>
                <w:b/>
                <w:bCs/>
                <w:sz w:val="20"/>
                <w:szCs w:val="20"/>
              </w:rPr>
              <w:t>Social / organisational domain</w:t>
            </w:r>
          </w:p>
        </w:tc>
      </w:tr>
      <w:tr w:rsidR="004D2D6C" w:rsidRPr="00C651E7" w14:paraId="7A0E888A" w14:textId="77777777">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CE0F8C8" w14:textId="77777777" w:rsidR="004D2D6C" w:rsidRPr="00C651E7" w:rsidRDefault="00000000">
            <w:pPr>
              <w:rPr>
                <w:sz w:val="20"/>
                <w:szCs w:val="20"/>
              </w:rPr>
            </w:pPr>
            <w:r>
              <w:rPr>
                <w:sz w:val="20"/>
                <w:szCs w:val="20"/>
              </w:rPr>
              <w:t>Telegrapher's equation ∂ₜₜρ + 2λ∂ₜρ = c²∂ₓₓρ</w:t>
            </w:r>
          </w:p>
        </w:tc>
        <w:tc>
          <w:tcPr>
            <w:tcW w:w="2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B5071F" w14:textId="77777777" w:rsidR="004D2D6C" w:rsidRPr="00C651E7" w:rsidRDefault="00000000">
            <w:pPr>
              <w:rPr>
                <w:sz w:val="20"/>
                <w:szCs w:val="20"/>
              </w:rPr>
            </w:pPr>
            <w:r>
              <w:rPr>
                <w:sz w:val="20"/>
                <w:szCs w:val="20"/>
              </w:rPr>
              <w:t>Picard-Lefschetz monodromy reset enables persistent random walk: ballistic segments + Poisson reversals at rate λ. Governs probability density ρ of the reset process on the topologically modified base.</w:t>
            </w:r>
          </w:p>
        </w:tc>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4DEEA7A" w14:textId="77777777" w:rsidR="004D2D6C" w:rsidRPr="00C651E7" w:rsidRDefault="00000000">
            <w:pPr>
              <w:rPr>
                <w:sz w:val="20"/>
                <w:szCs w:val="20"/>
              </w:rPr>
            </w:pPr>
            <w:r>
              <w:rPr>
                <w:sz w:val="20"/>
                <w:szCs w:val="20"/>
              </w:rPr>
              <w:t>Governs quantum probability density propagation before the long-time limit; present in relativistic quantum mechanics as the precursor to Dirac.</w:t>
            </w:r>
          </w:p>
        </w:tc>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D64FB2" w14:textId="77777777" w:rsidR="004D2D6C" w:rsidRPr="00C651E7" w:rsidRDefault="00000000">
            <w:pPr>
              <w:rPr>
                <w:sz w:val="20"/>
                <w:szCs w:val="20"/>
              </w:rPr>
            </w:pPr>
            <w:r>
              <w:rPr>
                <w:sz w:val="20"/>
                <w:szCs w:val="20"/>
              </w:rPr>
              <w:t>Governs signal propagation in transmission lines, diffusion with inertia, and nerve-impulse conduction (Hodgkin-Huxley at high signal speed).</w:t>
            </w:r>
          </w:p>
        </w:tc>
        <w:tc>
          <w:tcPr>
            <w:tcW w:w="20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6BC1F6F" w14:textId="77777777" w:rsidR="004D2D6C" w:rsidRPr="00C651E7" w:rsidRDefault="00000000">
            <w:pPr>
              <w:rPr>
                <w:sz w:val="20"/>
                <w:szCs w:val="20"/>
              </w:rPr>
            </w:pPr>
            <w:r>
              <w:rPr>
                <w:sz w:val="20"/>
                <w:szCs w:val="20"/>
              </w:rPr>
              <w:t>Governs information propagation in social networks with memory: ballistic cultural transmission + Poisson disruption events. Resistance and capacitance map to social inertia and susceptibility.</w:t>
            </w:r>
          </w:p>
        </w:tc>
      </w:tr>
      <w:tr w:rsidR="004D2D6C" w:rsidRPr="00C651E7" w14:paraId="63F17A1D" w14:textId="77777777">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98FE36" w14:textId="77777777" w:rsidR="004D2D6C" w:rsidRPr="00C651E7" w:rsidRDefault="00000000">
            <w:pPr>
              <w:rPr>
                <w:sz w:val="20"/>
                <w:szCs w:val="20"/>
              </w:rPr>
            </w:pPr>
            <w:r>
              <w:rPr>
                <w:sz w:val="20"/>
                <w:szCs w:val="20"/>
              </w:rPr>
              <w:lastRenderedPageBreak/>
              <w:t>Schrödinger equation  iħ ∂ψ/∂t = Hψ</w:t>
            </w:r>
          </w:p>
        </w:tc>
        <w:tc>
          <w:tcPr>
            <w:tcW w:w="2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5D1CA1" w14:textId="77777777" w:rsidR="004D2D6C" w:rsidRPr="00C651E7" w:rsidRDefault="00000000">
            <w:pPr>
              <w:rPr>
                <w:sz w:val="20"/>
                <w:szCs w:val="20"/>
              </w:rPr>
            </w:pPr>
            <w:r>
              <w:rPr>
                <w:sz w:val="20"/>
                <w:szCs w:val="20"/>
              </w:rPr>
              <w:t>Long-time limit of telegrapher's equation under Nelson's stochastic mechanics identification D = ħ/2m (invoked as an external borrowed result; its derivation from FGIR first principles is a Volume II open programme). Kinetic term T = Fisher information I in structural disguise; Lagrangian T − V = J − I in field notation.</w:t>
            </w:r>
          </w:p>
        </w:tc>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1204379" w14:textId="77777777" w:rsidR="004D2D6C" w:rsidRPr="00C651E7" w:rsidRDefault="00000000">
            <w:pPr>
              <w:rPr>
                <w:sz w:val="20"/>
                <w:szCs w:val="20"/>
              </w:rPr>
            </w:pPr>
            <w:r>
              <w:rPr>
                <w:sz w:val="20"/>
                <w:szCs w:val="20"/>
              </w:rPr>
              <w:t>Non-relativistic quantum mechanics: governs time evolution of quantum state. Fisher information I is the kinetic term; coercivity law provides the energetic foundation.</w:t>
            </w:r>
          </w:p>
        </w:tc>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C963E2" w14:textId="77777777" w:rsidR="004D2D6C" w:rsidRPr="00C651E7" w:rsidRDefault="00000000">
            <w:pPr>
              <w:rPr>
                <w:sz w:val="20"/>
                <w:szCs w:val="20"/>
              </w:rPr>
            </w:pPr>
            <w:r>
              <w:rPr>
                <w:sz w:val="20"/>
                <w:szCs w:val="20"/>
              </w:rPr>
              <w:t>Classical diffusion equation (∂ₜρ = D∂ₓₓρ) as the overdamped limit; governs Brownian motion, heat conduction, and concentration diffusion.</w:t>
            </w:r>
          </w:p>
        </w:tc>
        <w:tc>
          <w:tcPr>
            <w:tcW w:w="20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209904C" w14:textId="77777777" w:rsidR="004D2D6C" w:rsidRPr="00C651E7" w:rsidRDefault="00000000">
            <w:pPr>
              <w:rPr>
                <w:sz w:val="20"/>
                <w:szCs w:val="20"/>
              </w:rPr>
            </w:pPr>
            <w:r>
              <w:rPr>
                <w:sz w:val="20"/>
                <w:szCs w:val="20"/>
              </w:rPr>
              <w:t>Social diffusion of ideas, norms, and practices through a population; D maps to cultural diffusivity (rate of norm adoption). Organisational learning as diffusion of operative knowledge through the I-field manifold.</w:t>
            </w:r>
          </w:p>
        </w:tc>
      </w:tr>
      <w:tr w:rsidR="004D2D6C" w:rsidRPr="00C651E7" w14:paraId="472CA0A0" w14:textId="77777777">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1E6A7D1" w14:textId="77777777" w:rsidR="004D2D6C" w:rsidRPr="00C651E7" w:rsidRDefault="00000000">
            <w:pPr>
              <w:rPr>
                <w:sz w:val="20"/>
                <w:szCs w:val="20"/>
              </w:rPr>
            </w:pPr>
            <w:r>
              <w:rPr>
                <w:sz w:val="20"/>
                <w:szCs w:val="20"/>
              </w:rPr>
              <w:t>Dirac equation (iγμ∂μ − m)ψ = 0</w:t>
            </w:r>
          </w:p>
        </w:tc>
        <w:tc>
          <w:tcPr>
            <w:tcW w:w="2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8C0CB60" w14:textId="77777777" w:rsidR="004D2D6C" w:rsidRPr="00C651E7" w:rsidRDefault="00000000">
            <w:pPr>
              <w:rPr>
                <w:sz w:val="20"/>
                <w:szCs w:val="20"/>
              </w:rPr>
            </w:pPr>
            <w:r>
              <w:rPr>
                <w:sz w:val="20"/>
                <w:szCs w:val="20"/>
              </w:rPr>
              <w:t>Chiral persistent random walk extension of telegrapher's equation in 1+1 dimensions. Spinor structure encodes left/right chirality of walk; mass term m maps to Poisson reversal rate λ under Nelson identification.</w:t>
            </w:r>
          </w:p>
        </w:tc>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470289" w14:textId="77777777" w:rsidR="004D2D6C" w:rsidRPr="00C651E7" w:rsidRDefault="00000000">
            <w:pPr>
              <w:rPr>
                <w:sz w:val="20"/>
                <w:szCs w:val="20"/>
              </w:rPr>
            </w:pPr>
            <w:r>
              <w:rPr>
                <w:sz w:val="20"/>
                <w:szCs w:val="20"/>
              </w:rPr>
              <w:t>Relativistic quantum mechanics: governs spin-1/2 particles; naturally incorporates antiparticles. Reduces to Schrödinger in the non-relativistic limit.</w:t>
            </w:r>
          </w:p>
        </w:tc>
        <w:tc>
          <w:tcPr>
            <w:tcW w:w="17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A390162" w14:textId="77777777" w:rsidR="004D2D6C" w:rsidRPr="00C651E7" w:rsidRDefault="00000000">
            <w:pPr>
              <w:rPr>
                <w:sz w:val="20"/>
                <w:szCs w:val="20"/>
              </w:rPr>
            </w:pPr>
            <w:r>
              <w:rPr>
                <w:sz w:val="20"/>
                <w:szCs w:val="20"/>
              </w:rPr>
              <w:t>Chiral diffusion with broken left-right symmetry; models directional persistence in active matter (bacteria, cytoskeletal filaments).</w:t>
            </w:r>
          </w:p>
        </w:tc>
        <w:tc>
          <w:tcPr>
            <w:tcW w:w="20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F6EE9C" w14:textId="77777777" w:rsidR="004D2D6C" w:rsidRPr="00C651E7" w:rsidRDefault="00000000">
            <w:pPr>
              <w:rPr>
                <w:sz w:val="20"/>
                <w:szCs w:val="20"/>
              </w:rPr>
            </w:pPr>
            <w:r>
              <w:rPr>
                <w:sz w:val="20"/>
                <w:szCs w:val="20"/>
              </w:rPr>
              <w:t>Organisational dynamics with asymmetric forward/backward institutional momentum; constitutional rigidity (K-field) maps to a mass term preventing instantaneous reversal of organisational direction.</w:t>
            </w:r>
          </w:p>
        </w:tc>
      </w:tr>
    </w:tbl>
    <w:p w14:paraId="161AFEAF" w14:textId="77777777" w:rsidR="004D2D6C" w:rsidRPr="00B97E67" w:rsidRDefault="00000000" w:rsidP="00B97E67">
      <w:pPr>
        <w:spacing w:before="80" w:after="200"/>
        <w:jc w:val="center"/>
        <w:rPr>
          <w:sz w:val="22"/>
          <w:szCs w:val="22"/>
        </w:rPr>
      </w:pPr>
      <w:r>
        <w:rPr>
          <w:sz w:val="22"/>
          <w:szCs w:val="22"/>
        </w:rPr>
        <w:t>Table B: Constitutional Persistence Cycle derivations: the telegrapher's equation and its limiting cases.</w:t>
      </w:r>
    </w:p>
    <w:p w14:paraId="24A929E9" w14:textId="77777777" w:rsidR="004D2D6C" w:rsidRPr="00C651E7" w:rsidRDefault="00000000">
      <w:pPr>
        <w:spacing w:after="160" w:line="276" w:lineRule="auto"/>
        <w:jc w:val="both"/>
        <w:rPr>
          <w:sz w:val="22"/>
          <w:szCs w:val="22"/>
        </w:rPr>
      </w:pPr>
      <w:r>
        <w:rPr>
          <w:sz w:val="22"/>
          <w:szCs w:val="22"/>
        </w:rPr>
        <w:t>Table B shows the Schrödinger equation, and by extension the diffusion equation and the Dirac equation, to be domain-transcendent rather than quantum-specific. The telegrapher's equation is the incorporeal form that the CPC reset generates; the domain the system inhabits determines which limit is taken and therefore which familiar equation results. In the quantum domain, long-time behaviour under the stochastic mechanics identification yields Schrödinger. In the classical overdamped limit it yields the diffusion equation. In the chiral relativistic extension, it yields Dirac. The social and organisational projections in the rightmost column are not analogies: they are the same freezing logic applied to a different corporeal field, exactly as in Table A.</w:t>
      </w:r>
    </w:p>
    <w:p w14:paraId="08B99B2D" w14:textId="77777777" w:rsidR="004D2D6C" w:rsidRPr="00C651E7" w:rsidRDefault="00000000">
      <w:pPr>
        <w:spacing w:after="160" w:line="276" w:lineRule="auto"/>
        <w:jc w:val="both"/>
        <w:rPr>
          <w:sz w:val="22"/>
          <w:szCs w:val="22"/>
        </w:rPr>
      </w:pPr>
      <w:r>
        <w:rPr>
          <w:sz w:val="22"/>
          <w:szCs w:val="22"/>
        </w:rPr>
        <w:t xml:space="preserve">The Schrödinger equation is therefore more structurally significant than the Einstein equation in two respects — again conditional on the Nelson (1966) stochastic mechanics identification, an external borrowed result flagged as a Volume II open programme. First, it is dynamic: it governs time evolution rather than recording an equivalence at rest. Second, it is domain-transcendent through the telegrapher's equation: the same CPC derivation path that recovers Schrödinger in the quantum context recovers classical diffusion and Dirac in other contexts, and all three project further into social and organisational domains via the Table A freezing logic. Einstein's equation is the most familiar projection of </w:t>
      </w:r>
      <w:r>
        <w:rPr>
          <w:i/>
          <w:iCs/>
          <w:sz w:val="22"/>
          <w:szCs w:val="22"/>
        </w:rPr>
        <w:t>E = Iₚc²</w:t>
      </w:r>
      <w:r>
        <w:rPr>
          <w:sz w:val="22"/>
          <w:szCs w:val="22"/>
        </w:rPr>
        <w:t xml:space="preserve"> onto four-</w:t>
      </w:r>
      <w:r>
        <w:rPr>
          <w:sz w:val="22"/>
          <w:szCs w:val="22"/>
        </w:rPr>
        <w:lastRenderedPageBreak/>
        <w:t>dimensional Lorentzian spacetime. The Schrödinger equation, approached through the CPC, is the most consequential: it opens the FGIR programme to quantum field theory, the measurement problem, decoherence, and the full range of classical and social diffusion phenomena within a single derivation lineage.</w:t>
      </w:r>
    </w:p>
    <w:p w14:paraId="5382C46B" w14:textId="77777777" w:rsidR="004D2D6C" w:rsidRPr="00C651E7" w:rsidRDefault="00000000">
      <w:pPr>
        <w:pStyle w:val="Heading1"/>
        <w:rPr>
          <w:sz w:val="22"/>
          <w:szCs w:val="22"/>
        </w:rPr>
      </w:pPr>
      <w:r>
        <w:rPr>
          <w:sz w:val="22"/>
          <w:szCs w:val="22"/>
        </w:rPr>
        <w:t>7.  Summary</w:t>
      </w:r>
    </w:p>
    <w:p w14:paraId="5AB62A1E" w14:textId="77777777" w:rsidR="004D2D6C" w:rsidRPr="00C651E7" w:rsidRDefault="00000000">
      <w:pPr>
        <w:spacing w:after="160" w:line="276" w:lineRule="auto"/>
        <w:jc w:val="both"/>
        <w:rPr>
          <w:sz w:val="22"/>
          <w:szCs w:val="22"/>
        </w:rPr>
      </w:pPr>
      <w:r>
        <w:rPr>
          <w:sz w:val="22"/>
          <w:szCs w:val="22"/>
        </w:rPr>
        <w:t xml:space="preserve">The derivation chain is as follows. The SRP (meta-law: S1 saturation, S2 defect rigidity, S3 rapid locking) generates the MSS Axioms (Admissibility, Defect Rigidity, Coercivity). The MSS Axioms, applied to information manifolds, yield </w:t>
      </w:r>
      <w:r>
        <w:rPr>
          <w:i/>
          <w:iCs/>
          <w:sz w:val="22"/>
          <w:szCs w:val="22"/>
        </w:rPr>
        <w:t>E = ℱc²</w:t>
      </w:r>
      <w:r>
        <w:rPr>
          <w:sz w:val="22"/>
          <w:szCs w:val="22"/>
        </w:rPr>
        <w:t xml:space="preserve">. The ontological embedding </w:t>
      </w:r>
      <w:r>
        <w:rPr>
          <w:i/>
          <w:iCs/>
          <w:sz w:val="22"/>
          <w:szCs w:val="22"/>
        </w:rPr>
        <w:t>I</w:t>
      </w:r>
      <w:r>
        <w:rPr>
          <w:sz w:val="22"/>
          <w:szCs w:val="22"/>
        </w:rPr>
        <w:t xml:space="preserve"> → </w:t>
      </w:r>
      <w:r>
        <w:rPr>
          <w:i/>
          <w:iCs/>
          <w:sz w:val="22"/>
          <w:szCs w:val="22"/>
        </w:rPr>
        <w:t>I</w:t>
      </w:r>
      <w:r>
        <w:rPr>
          <w:sz w:val="22"/>
          <w:szCs w:val="22"/>
        </w:rPr>
        <w:t xml:space="preserve">ₚ by Yolles (2025), described in §4, yields </w:t>
      </w:r>
      <w:r>
        <w:rPr>
          <w:i/>
          <w:iCs/>
          <w:sz w:val="22"/>
          <w:szCs w:val="22"/>
        </w:rPr>
        <w:t>E = Iₚc²</w:t>
      </w:r>
      <w:r>
        <w:rPr>
          <w:sz w:val="22"/>
          <w:szCs w:val="22"/>
        </w:rPr>
        <w:t xml:space="preserve">. The freezing projection π, subject to Axioms B1–B3, yields </w:t>
      </w:r>
      <w:r>
        <w:rPr>
          <w:i/>
          <w:iCs/>
          <w:sz w:val="22"/>
          <w:szCs w:val="22"/>
        </w:rPr>
        <w:t>Ê = m̂ĉ²</w:t>
      </w:r>
      <w:r>
        <w:rPr>
          <w:sz w:val="22"/>
          <w:szCs w:val="22"/>
        </w:rPr>
        <w:t xml:space="preserve"> as one corporeal projection.</w:t>
      </w:r>
    </w:p>
    <w:p w14:paraId="197A944C" w14:textId="77777777" w:rsidR="004D2D6C" w:rsidRPr="00C651E7" w:rsidRDefault="00000000">
      <w:pPr>
        <w:spacing w:after="160" w:line="276" w:lineRule="auto"/>
        <w:jc w:val="both"/>
        <w:rPr>
          <w:sz w:val="22"/>
          <w:szCs w:val="22"/>
        </w:rPr>
      </w:pPr>
      <w:r>
        <w:rPr>
          <w:sz w:val="22"/>
          <w:szCs w:val="22"/>
        </w:rPr>
        <w:t xml:space="preserve">Each step up to </w:t>
      </w:r>
      <w:r>
        <w:rPr>
          <w:i/>
          <w:iCs/>
          <w:sz w:val="22"/>
          <w:szCs w:val="22"/>
        </w:rPr>
        <w:t>E = Iₚc²</w:t>
      </w:r>
      <w:r>
        <w:rPr>
          <w:sz w:val="22"/>
          <w:szCs w:val="22"/>
        </w:rPr>
        <w:t xml:space="preserve"> is a theorem. The final step to </w:t>
      </w:r>
      <w:r>
        <w:rPr>
          <w:i/>
          <w:iCs/>
          <w:sz w:val="22"/>
          <w:szCs w:val="22"/>
        </w:rPr>
        <w:t>Ê = m̂ĉ²</w:t>
      </w:r>
      <w:r>
        <w:rPr>
          <w:sz w:val="22"/>
          <w:szCs w:val="22"/>
        </w:rPr>
        <w:t xml:space="preserve"> is structurally exact in form but formally conditioned on three bridge conditions not yet discharged. </w:t>
      </w:r>
      <w:r>
        <w:rPr>
          <w:i/>
          <w:iCs/>
          <w:sz w:val="22"/>
          <w:szCs w:val="22"/>
        </w:rPr>
        <w:t>Ê = m̂ĉ²</w:t>
      </w:r>
      <w:r>
        <w:rPr>
          <w:sz w:val="22"/>
          <w:szCs w:val="22"/>
        </w:rPr>
        <w:t xml:space="preserve"> is one corporeal projection of the coercivity law, and the most familiar; Section 6B identifies the full range of projections across relativistic, quantum, thermodynamic, condensed-matter, biological, cognitive, organisational, and cosmological domains. In each case, the incorporeal law </w:t>
      </w:r>
      <w:r>
        <w:rPr>
          <w:i/>
          <w:iCs/>
          <w:sz w:val="22"/>
          <w:szCs w:val="22"/>
        </w:rPr>
        <w:t>E = Iₚc²</w:t>
      </w:r>
      <w:r>
        <w:rPr>
          <w:sz w:val="22"/>
          <w:szCs w:val="22"/>
        </w:rPr>
        <w:t xml:space="preserve"> is the source; the domain-specific result is what it becomes under the appropriate freezing projection.</w:t>
      </w:r>
    </w:p>
    <w:p w14:paraId="0E97E175" w14:textId="77777777" w:rsidR="004D2D6C" w:rsidRPr="00C651E7" w:rsidRDefault="00000000">
      <w:pPr>
        <w:pStyle w:val="Heading1"/>
        <w:rPr>
          <w:sz w:val="22"/>
          <w:szCs w:val="22"/>
        </w:rPr>
      </w:pPr>
      <w:r>
        <w:rPr>
          <w:sz w:val="22"/>
          <w:szCs w:val="22"/>
        </w:rPr>
        <w:t>8.  Conclusion</w:t>
      </w:r>
    </w:p>
    <w:p w14:paraId="73B101AB" w14:textId="77777777" w:rsidR="004D2D6C" w:rsidRPr="00C651E7" w:rsidRDefault="00000000">
      <w:pPr>
        <w:pStyle w:val="Heading2"/>
        <w:rPr>
          <w:sz w:val="22"/>
          <w:szCs w:val="22"/>
        </w:rPr>
      </w:pPr>
      <w:r>
        <w:rPr>
          <w:sz w:val="22"/>
          <w:szCs w:val="22"/>
        </w:rPr>
        <w:t>8.1  Formal Summary</w:t>
      </w:r>
    </w:p>
    <w:p w14:paraId="6899F7DA" w14:textId="77777777" w:rsidR="004D2D6C" w:rsidRPr="00C651E7" w:rsidRDefault="00000000">
      <w:pPr>
        <w:spacing w:after="160" w:line="276" w:lineRule="auto"/>
        <w:jc w:val="both"/>
        <w:rPr>
          <w:sz w:val="22"/>
          <w:szCs w:val="22"/>
        </w:rPr>
      </w:pPr>
      <w:r>
        <w:rPr>
          <w:sz w:val="22"/>
          <w:szCs w:val="22"/>
        </w:rPr>
        <w:t xml:space="preserve">Each step up to and including </w:t>
      </w:r>
      <w:r>
        <w:rPr>
          <w:i/>
          <w:iCs/>
          <w:sz w:val="22"/>
          <w:szCs w:val="22"/>
        </w:rPr>
        <w:t>E = I</w:t>
      </w:r>
      <w:r>
        <w:rPr>
          <w:sz w:val="22"/>
          <w:szCs w:val="22"/>
          <w:vertAlign w:val="subscript"/>
        </w:rPr>
        <w:t>p</w:t>
      </w:r>
      <w:r>
        <w:rPr>
          <w:i/>
          <w:iCs/>
          <w:sz w:val="22"/>
          <w:szCs w:val="22"/>
        </w:rPr>
        <w:t>c</w:t>
      </w:r>
      <w:r>
        <w:rPr>
          <w:sz w:val="22"/>
          <w:szCs w:val="22"/>
        </w:rPr>
        <w:t xml:space="preserve">² follows rigorously from the working postulates stated in §3.2; no step within the conditional derivation assumes the conclusion. </w:t>
      </w:r>
    </w:p>
    <w:p w14:paraId="75C65469" w14:textId="77777777" w:rsidR="004D2D6C" w:rsidRPr="00C651E7" w:rsidRDefault="00000000">
      <w:pPr>
        <w:spacing w:after="160" w:line="276" w:lineRule="auto"/>
        <w:jc w:val="both"/>
        <w:rPr>
          <w:sz w:val="22"/>
          <w:szCs w:val="22"/>
        </w:rPr>
      </w:pPr>
      <w:r>
        <w:rPr>
          <w:sz w:val="22"/>
          <w:szCs w:val="22"/>
        </w:rPr>
        <w:t xml:space="preserve">The bridge to Einstein's law (§5–§6A) is structurally exact in form but formally conditional. The T-BRIDGE theorem establishes that </w:t>
      </w:r>
      <w:r>
        <w:rPr>
          <w:i/>
          <w:iCs/>
          <w:sz w:val="22"/>
          <w:szCs w:val="22"/>
        </w:rPr>
        <w:t>E = Iₚc²</w:t>
      </w:r>
      <w:r>
        <w:rPr>
          <w:sz w:val="22"/>
          <w:szCs w:val="22"/>
        </w:rPr>
        <w:t xml:space="preserve"> and </w:t>
      </w:r>
      <w:r>
        <w:rPr>
          <w:i/>
          <w:iCs/>
          <w:sz w:val="22"/>
          <w:szCs w:val="22"/>
        </w:rPr>
        <w:t>Ê = m̂ĉ²</w:t>
      </w:r>
      <w:r>
        <w:rPr>
          <w:sz w:val="22"/>
          <w:szCs w:val="22"/>
        </w:rPr>
        <w:t xml:space="preserve"> are equivalent representations of a single constitutional persistence law if and only if the three freezing postulates F1–F3 hold. Those postulates, dimensional reduction, constitutional identification, and energy preservation, are working postulates adopted at recursion level R(6), not theorems derived within Volume I. Their formal discharge from the FGIR recursion hierarchy is the open programme Axioms B1–B3 (§5.1), reserved for Volume II of the FGIR Trilogy. T-BRIDGE is therefore a conditional bridge theorem, not an unconditional emergence theorem.</w:t>
      </w:r>
    </w:p>
    <w:p w14:paraId="54A147C4" w14:textId="77777777" w:rsidR="004D2D6C" w:rsidRPr="00C651E7" w:rsidRDefault="00000000">
      <w:pPr>
        <w:pStyle w:val="Heading2"/>
        <w:rPr>
          <w:sz w:val="22"/>
          <w:szCs w:val="22"/>
        </w:rPr>
      </w:pPr>
      <w:r>
        <w:rPr>
          <w:sz w:val="22"/>
          <w:szCs w:val="22"/>
        </w:rPr>
        <w:t>8.2  Philosophical Dimension</w:t>
      </w:r>
    </w:p>
    <w:p w14:paraId="4A4AFB5A" w14:textId="77777777" w:rsidR="004D2D6C" w:rsidRPr="00C651E7" w:rsidRDefault="00000000">
      <w:pPr>
        <w:spacing w:after="160" w:line="276" w:lineRule="auto"/>
        <w:jc w:val="both"/>
        <w:rPr>
          <w:sz w:val="22"/>
          <w:szCs w:val="22"/>
        </w:rPr>
      </w:pPr>
      <w:r>
        <w:rPr>
          <w:sz w:val="22"/>
          <w:szCs w:val="22"/>
        </w:rPr>
        <w:t xml:space="preserve">The coercivity law has a philosophical dimension that the formal proof cannot express on its own. FGIR takes information, not matter, energy, or spacetime, as the primary generative substrate of reality. In this framework, the entities we ordinarily call physical objects are not fundamental; they are stabilised patterns of information that have undergone enaction: the passage from a dispositional, potential state in the J-field to a structured, enacted state in the I-field, and eventually to a corporeal manifestation in the C-field. The equation </w:t>
      </w:r>
      <w:r>
        <w:rPr>
          <w:i/>
          <w:iCs/>
          <w:sz w:val="22"/>
          <w:szCs w:val="22"/>
        </w:rPr>
        <w:t>E = Iₚc²</w:t>
      </w:r>
      <w:r>
        <w:rPr>
          <w:sz w:val="22"/>
          <w:szCs w:val="22"/>
        </w:rPr>
        <w:t xml:space="preserve"> is the formal quantification of this process: it says that the informational substance Iₚ of a system, when compressed into enacted existence by the coercivity c² of its structural rigidity, yields exactly the energy E required for that enactment to persist.</w:t>
      </w:r>
    </w:p>
    <w:p w14:paraId="39997AAC" w14:textId="77777777" w:rsidR="004D2D6C" w:rsidRPr="00C651E7" w:rsidRDefault="00000000">
      <w:pPr>
        <w:spacing w:after="160" w:line="276" w:lineRule="auto"/>
        <w:jc w:val="both"/>
        <w:rPr>
          <w:sz w:val="22"/>
          <w:szCs w:val="22"/>
        </w:rPr>
      </w:pPr>
      <w:r>
        <w:rPr>
          <w:sz w:val="22"/>
          <w:szCs w:val="22"/>
        </w:rPr>
        <w:lastRenderedPageBreak/>
        <w:t>This connects to a venerable strand of philosophical thought. Varela, Thompson and Rosch (1991) argued that cognition is enaction: that living systems bring forth their experienced worlds through active structural coupling, not through passive representation. Di Paolo (2005) extended this, showing how adaptive agency emerges from structural coupling as the organism actively maintains its viability boundaries. FGIR extends this insight from the biological to the informational: every persistent structure, whether physical, biological, or cognitive, must enact its existence against the geometry of its information manifold. The SRP is the formal precondition of persistence in any domain; the coercivity law is its quantitative consequence. What the embodied-mind tradition calls "bringing forth a world," FGIR formalises as the minimisation of the admissibility energy over all geometrically admissible configurations of the information manifold. That minimisation, when a saturation set A* exists, yields E = Iₚc².</w:t>
      </w:r>
    </w:p>
    <w:p w14:paraId="5003DD31" w14:textId="77777777" w:rsidR="004D2D6C" w:rsidRPr="00C651E7" w:rsidRDefault="00000000">
      <w:pPr>
        <w:spacing w:after="160" w:line="276" w:lineRule="auto"/>
        <w:jc w:val="both"/>
        <w:rPr>
          <w:sz w:val="22"/>
          <w:szCs w:val="22"/>
        </w:rPr>
      </w:pPr>
      <w:r>
        <w:rPr>
          <w:sz w:val="22"/>
          <w:szCs w:val="22"/>
        </w:rPr>
        <w:t>FGIR does not claim to reduce physics to information theory. What the T-BRIDGE theorem establishes, conditionally on Axioms B1–B3, is that the informational and physical descriptions of constitutional persistence are inter-derivable: given the freezing correspondence, the informational law and the physical law are not two separate claims but one constitutional persistence law in two ontological vocabularies. The incorporeal vocabulary describes it in terms of Fisher Information density and coherence conductance; in the relativistic case the corporeal vocabulary describes it as rest mass and the speed of light. That relativistic case is one projection among many. In quantum mechanics the same law governs the energetic cost of maintaining quantum coherence (Zambrini, 1986; Nelson, 1985); in thermodynamics it underlies the Landauer and Maxwell-Boltzmann relations; in biology it quantifies metabolic enaction; in organisational systems it expresses the cost of maintaining requisite variety. Section 6B identifies each of these projections. Enaction is the general process; domain-specific persistence laws are what enaction looks like under each freezing projection. Neither the incorporeal law nor any single corporeal projection is more fundamental than the others; they are complementary facets of the same structural necessity. This is a substantive claim about the architecture of reality, not a formal analogy.</w:t>
      </w:r>
    </w:p>
    <w:p w14:paraId="3F49904B" w14:textId="77777777" w:rsidR="004D2D6C" w:rsidRPr="00C651E7" w:rsidRDefault="00000000">
      <w:pPr>
        <w:pStyle w:val="Heading2"/>
        <w:rPr>
          <w:sz w:val="22"/>
          <w:szCs w:val="22"/>
        </w:rPr>
      </w:pPr>
      <w:r>
        <w:rPr>
          <w:sz w:val="22"/>
          <w:szCs w:val="22"/>
        </w:rPr>
        <w:t>8.3  Academic Contribution and Programme Position</w:t>
      </w:r>
    </w:p>
    <w:p w14:paraId="043171E1" w14:textId="77777777" w:rsidR="004D2D6C" w:rsidRPr="00C651E7" w:rsidRDefault="00000000">
      <w:pPr>
        <w:spacing w:after="160" w:line="276" w:lineRule="auto"/>
        <w:jc w:val="both"/>
        <w:rPr>
          <w:sz w:val="22"/>
          <w:szCs w:val="22"/>
        </w:rPr>
      </w:pPr>
      <w:r>
        <w:rPr>
          <w:sz w:val="22"/>
          <w:szCs w:val="22"/>
        </w:rPr>
        <w:t>The primary academic contribution of this paper is the citable derivation relay for P25 of the FIFT Schema: the first self-contained, precisely conditional derivation showing that E = Ipc² follows from the Saturation–Rigidity Principle, the Łojasiewicz–Simon gradient inequality, Chentsov’s uniqueness theorem, and the Fisher–Rao geometry of probability manifolds, given the Saturation Assumption and the Yolles ontological embedding as working postulates. This derivation has been needed by the FGIR programme since the equation first appeared across the Trilogy, where it was consistently invoked without derivation. The present paper closes that gap. The formal results draw on Amari and Nagaoka (2000) for information-geometric foundations, Chentsov (1982) for Fisher–Rao metric uniqueness, Łojasiewicz (1965), Simon (1983) and Chill (2003) for the gradient inequality, and Frieden (2004) for the Fisher information field foundation. The ontological embedding I → Iₚ is due to Yolles (2025a). The FGIR programme context is established by the published works Yolles (2026a, Systems) and Yolles and Chiolerio (2026, Applied Sciences).</w:t>
      </w:r>
    </w:p>
    <w:p w14:paraId="77EA760A" w14:textId="77777777" w:rsidR="004D2D6C" w:rsidRPr="00C651E7" w:rsidRDefault="00000000">
      <w:pPr>
        <w:spacing w:after="160" w:line="276" w:lineRule="auto"/>
        <w:jc w:val="both"/>
        <w:rPr>
          <w:sz w:val="22"/>
          <w:szCs w:val="22"/>
        </w:rPr>
      </w:pPr>
      <w:r>
        <w:rPr>
          <w:sz w:val="22"/>
          <w:szCs w:val="22"/>
        </w:rPr>
        <w:t xml:space="preserve">Within the FIFT Schema Architectural Map, this paper occupies Layer 1: it is the derivation relay, sitting between Layer 0 (the Schema's axiomatic architecture) and Layers 2–4 (the Constitutional Persistence Cycle, the Wuxing reconstruction, and the Beer VSM application). All three higher layers invoke </w:t>
      </w:r>
      <w:r>
        <w:rPr>
          <w:i/>
          <w:iCs/>
          <w:sz w:val="22"/>
          <w:szCs w:val="22"/>
        </w:rPr>
        <w:t>E = Iₚc²</w:t>
      </w:r>
      <w:r>
        <w:rPr>
          <w:sz w:val="22"/>
          <w:szCs w:val="22"/>
        </w:rPr>
        <w:t xml:space="preserve"> as a structural law. This paper supplies the proof that makes those invocations theoretically grounded rather </w:t>
      </w:r>
      <w:r>
        <w:rPr>
          <w:sz w:val="22"/>
          <w:szCs w:val="22"/>
        </w:rPr>
        <w:lastRenderedPageBreak/>
        <w:t>than stipulated. The paper therefore serves not only as a standalone result but as the foundational relay on which the entire applied layer of the FGIR programme rests.</w:t>
      </w:r>
    </w:p>
    <w:p w14:paraId="78BF4B66" w14:textId="77777777" w:rsidR="004D2D6C" w:rsidRDefault="00000000">
      <w:pPr>
        <w:spacing w:after="160" w:line="276" w:lineRule="auto"/>
        <w:jc w:val="both"/>
        <w:rPr>
          <w:sz w:val="22"/>
          <w:szCs w:val="22"/>
        </w:rPr>
      </w:pPr>
      <w:r>
        <w:rPr>
          <w:sz w:val="22"/>
          <w:szCs w:val="22"/>
        </w:rPr>
        <w:t xml:space="preserve">The open programme that remains, the discharge of Axioms B1–B3 by formal derivation from R(6) recursive closure, is the work of Volume II and a consequence of the framework's honesty. A derivation that reaches exactly as far as the available tools allow, and states precisely what remains to be done, is more scientifically useful than one that papers over the gap with an appeal to plausibility. The coercivity law </w:t>
      </w:r>
      <w:r>
        <w:rPr>
          <w:i/>
          <w:iCs/>
          <w:sz w:val="22"/>
          <w:szCs w:val="22"/>
        </w:rPr>
        <w:t>E = Iₚc²</w:t>
      </w:r>
      <w:r>
        <w:rPr>
          <w:sz w:val="22"/>
          <w:szCs w:val="22"/>
        </w:rPr>
        <w:t xml:space="preserve"> is now a theorem. Its connection to </w:t>
      </w:r>
      <w:r>
        <w:rPr>
          <w:i/>
          <w:iCs/>
          <w:sz w:val="22"/>
          <w:szCs w:val="22"/>
        </w:rPr>
        <w:t>Ê = m̂ĉ²</w:t>
      </w:r>
      <w:r>
        <w:rPr>
          <w:sz w:val="22"/>
          <w:szCs w:val="22"/>
        </w:rPr>
        <w:t xml:space="preserve"> is now a precisely conditional equivalence. The work of making that conditionality unconditional is the programme that Volume II inherits.</w:t>
      </w:r>
    </w:p>
    <w:p w14:paraId="5DBC8C4D" w14:textId="77777777" w:rsidR="00EE3FC8" w:rsidRPr="00EE3FC8" w:rsidRDefault="00EE3FC8" w:rsidP="00EE3FC8">
      <w:pPr>
        <w:spacing w:after="160" w:line="276" w:lineRule="auto"/>
        <w:jc w:val="both"/>
        <w:rPr>
          <w:b/>
          <w:bCs/>
          <w:sz w:val="22"/>
          <w:szCs w:val="22"/>
        </w:rPr>
      </w:pPr>
      <w:r>
        <w:rPr>
          <w:b/>
          <w:bCs/>
          <w:sz w:val="22"/>
          <w:szCs w:val="22"/>
        </w:rPr>
        <w:t>Acknowledgements</w:t>
      </w:r>
    </w:p>
    <w:p w14:paraId="255F56BE" w14:textId="77777777" w:rsidR="00EE3FC8" w:rsidRPr="00EE3FC8" w:rsidRDefault="00EE3FC8" w:rsidP="00EE3FC8">
      <w:pPr>
        <w:spacing w:after="160" w:line="276" w:lineRule="auto"/>
        <w:jc w:val="both"/>
        <w:rPr>
          <w:sz w:val="22"/>
          <w:szCs w:val="22"/>
        </w:rPr>
      </w:pPr>
      <w:r>
        <w:rPr>
          <w:sz w:val="22"/>
          <w:szCs w:val="22"/>
        </w:rPr>
        <w:t>The authors acknowledge the deployment of a cybernetics archivist ensemble, comprising large language model (LLM) systems including Claude (Anthropic), DeepSeek, and Kimi, as methodological instruments in the preparation of this paper. These systems were employed in an archival and editorial capacity, drawing on their capacity for cross-domain synthesis, terminological consistency checking, and iterative structural critique across the multiple disciplinary registers engaged in this work. Their use reflects a deliberate methodological commitment to mitigating the range of cognitive and disciplinary biases (including confirmation bias, domain-anchoring bias, and analogical overfitting) to which transdisciplinary synthesis is particularly susceptible. The ensemble was governed throughout by the theoretical commitments of the FGIR framework and subject to authorial oversight at every stage. Responsibility for all theoretical claims, mathematical derivations, and interpretive conclusions remains exclusively with the authors.</w:t>
      </w:r>
    </w:p>
    <w:p w14:paraId="558F78A9" w14:textId="77777777" w:rsidR="004D2D6C" w:rsidRPr="00C651E7" w:rsidRDefault="00000000">
      <w:pPr>
        <w:pStyle w:val="Heading1"/>
        <w:rPr>
          <w:sz w:val="22"/>
          <w:szCs w:val="22"/>
        </w:rPr>
      </w:pPr>
      <w:r>
        <w:rPr>
          <w:sz w:val="22"/>
          <w:szCs w:val="22"/>
        </w:rPr>
        <w:t>References</w:t>
      </w:r>
    </w:p>
    <w:p w14:paraId="7C14C9BA" w14:textId="77777777" w:rsidR="008D1038" w:rsidRPr="008D1038" w:rsidRDefault="008D1038" w:rsidP="008D1038">
      <w:pPr>
        <w:pStyle w:val="Heading1"/>
        <w:rPr>
          <w:b w:val="0"/>
          <w:bCs w:val="0"/>
          <w:sz w:val="22"/>
          <w:szCs w:val="22"/>
        </w:rPr>
      </w:pPr>
      <w:r>
        <w:rPr>
          <w:b w:val="0"/>
          <w:bCs w:val="0"/>
          <w:sz w:val="22"/>
          <w:szCs w:val="22"/>
        </w:rPr>
        <w:t>Absil, P. A., Mahony, R., &amp; Andrews, B. (2005). Convergence of the iterates of descent methods for analytic cost functions. SIAM Journal on Optimization, 16(2), 531–547.</w:t>
      </w:r>
    </w:p>
    <w:p w14:paraId="448BD8B6" w14:textId="77777777" w:rsidR="008D1038" w:rsidRPr="008D1038" w:rsidRDefault="008D1038" w:rsidP="008D1038">
      <w:pPr>
        <w:pStyle w:val="Heading1"/>
        <w:rPr>
          <w:b w:val="0"/>
          <w:bCs w:val="0"/>
          <w:sz w:val="22"/>
          <w:szCs w:val="22"/>
        </w:rPr>
      </w:pPr>
      <w:r>
        <w:rPr>
          <w:b w:val="0"/>
          <w:bCs w:val="0"/>
          <w:sz w:val="22"/>
          <w:szCs w:val="22"/>
        </w:rPr>
        <w:t>Amari, S. (1985). Differential-Geometric Methods in Statistics. Lecture Notes in Statistics. Springer.</w:t>
      </w:r>
    </w:p>
    <w:p w14:paraId="44058693" w14:textId="77777777" w:rsidR="008D1038" w:rsidRPr="008D1038" w:rsidRDefault="008D1038" w:rsidP="008D1038">
      <w:pPr>
        <w:pStyle w:val="Heading1"/>
        <w:rPr>
          <w:b w:val="0"/>
          <w:bCs w:val="0"/>
          <w:sz w:val="22"/>
          <w:szCs w:val="22"/>
        </w:rPr>
      </w:pPr>
      <w:r>
        <w:rPr>
          <w:b w:val="0"/>
          <w:bCs w:val="0"/>
          <w:sz w:val="22"/>
          <w:szCs w:val="22"/>
        </w:rPr>
        <w:t>Amari, S. (2016). Information Geometry and Its Applications. Springer.</w:t>
      </w:r>
    </w:p>
    <w:p w14:paraId="230881AE" w14:textId="77777777" w:rsidR="008D1038" w:rsidRPr="008D1038" w:rsidRDefault="008D1038" w:rsidP="008D1038">
      <w:pPr>
        <w:pStyle w:val="Heading1"/>
        <w:rPr>
          <w:b w:val="0"/>
          <w:bCs w:val="0"/>
          <w:sz w:val="22"/>
          <w:szCs w:val="22"/>
        </w:rPr>
      </w:pPr>
      <w:r>
        <w:rPr>
          <w:b w:val="0"/>
          <w:bCs w:val="0"/>
          <w:sz w:val="22"/>
          <w:szCs w:val="22"/>
        </w:rPr>
        <w:t>Amari, S., &amp; Nagaoka, H. (2000). Methods of Information Geometry. American Mathematical Society.</w:t>
      </w:r>
    </w:p>
    <w:p w14:paraId="1863C69B" w14:textId="77777777" w:rsidR="008D1038" w:rsidRPr="008D1038" w:rsidRDefault="008D1038" w:rsidP="008D1038">
      <w:pPr>
        <w:pStyle w:val="Heading1"/>
        <w:rPr>
          <w:b w:val="0"/>
          <w:bCs w:val="0"/>
          <w:sz w:val="22"/>
          <w:szCs w:val="22"/>
        </w:rPr>
      </w:pPr>
      <w:r>
        <w:rPr>
          <w:b w:val="0"/>
          <w:bCs w:val="0"/>
          <w:sz w:val="22"/>
          <w:szCs w:val="22"/>
        </w:rPr>
        <w:t>Arnold, V. I., Gusein-Zade, S. M., &amp; Varchenko, A. N. (2012). Singularities of Differentiable Maps: Volume II Monodromy and Asymptotics of Integrals. Springer Science &amp; Business Media.</w:t>
      </w:r>
    </w:p>
    <w:p w14:paraId="46C6EC58" w14:textId="77777777" w:rsidR="008D1038" w:rsidRPr="008D1038" w:rsidRDefault="008D1038" w:rsidP="008D1038">
      <w:pPr>
        <w:pStyle w:val="Heading1"/>
        <w:rPr>
          <w:b w:val="0"/>
          <w:bCs w:val="0"/>
          <w:sz w:val="22"/>
          <w:szCs w:val="22"/>
        </w:rPr>
      </w:pPr>
      <w:r>
        <w:rPr>
          <w:b w:val="0"/>
          <w:bCs w:val="0"/>
          <w:sz w:val="22"/>
          <w:szCs w:val="22"/>
        </w:rPr>
        <w:t>Ay, N., Jost, J., Lê, H. V., &amp; Schwachhöfer, L. (2015). Information geometry and sufficient statistics. Differential Geometry and its Applications, 42, 1–16.</w:t>
      </w:r>
    </w:p>
    <w:p w14:paraId="5865C31C" w14:textId="77777777" w:rsidR="008D1038" w:rsidRPr="008D1038" w:rsidRDefault="008D1038" w:rsidP="008D1038">
      <w:pPr>
        <w:pStyle w:val="Heading1"/>
        <w:rPr>
          <w:b w:val="0"/>
          <w:bCs w:val="0"/>
          <w:sz w:val="22"/>
          <w:szCs w:val="22"/>
        </w:rPr>
      </w:pPr>
      <w:r>
        <w:rPr>
          <w:b w:val="0"/>
          <w:bCs w:val="0"/>
          <w:sz w:val="22"/>
          <w:szCs w:val="22"/>
        </w:rPr>
        <w:t xml:space="preserve">Ay, N., Jost, J., Lê, H. V., &amp; Schwachhöfer, L. (2017). Information Geometry. Springer. </w:t>
      </w:r>
      <w:hyperlink r:id="rId11" w:history="1">
        <w:r>
          <w:rPr>
            <w:rStyle w:val="Hyperlink"/>
            <w:b w:val="0"/>
            <w:bCs w:val="0"/>
            <w:sz w:val="22"/>
            <w:szCs w:val="22"/>
          </w:rPr>
          <w:t>https://doi.org/10.1007/978-3-319-56478-4</w:t>
        </w:r>
      </w:hyperlink>
    </w:p>
    <w:p w14:paraId="52FAEC87" w14:textId="77777777" w:rsidR="008D1038" w:rsidRPr="008D1038" w:rsidRDefault="008D1038" w:rsidP="008D1038">
      <w:pPr>
        <w:pStyle w:val="Heading1"/>
        <w:rPr>
          <w:b w:val="0"/>
          <w:bCs w:val="0"/>
          <w:sz w:val="22"/>
          <w:szCs w:val="22"/>
        </w:rPr>
      </w:pPr>
      <w:r>
        <w:rPr>
          <w:b w:val="0"/>
          <w:bCs w:val="0"/>
          <w:sz w:val="22"/>
          <w:szCs w:val="22"/>
        </w:rPr>
        <w:t>Bauer, M., Bruveris, M., &amp; Michor, P. W. (2016). Uniqueness of the Fisher–Rao metric on the space of smooth densities. Bulletin of the London Mathematical Society, 48(3), 499–506.</w:t>
      </w:r>
    </w:p>
    <w:p w14:paraId="7F50CB55" w14:textId="77777777" w:rsidR="008D1038" w:rsidRPr="008D1038" w:rsidRDefault="008D1038" w:rsidP="008D1038">
      <w:pPr>
        <w:pStyle w:val="Heading1"/>
        <w:rPr>
          <w:b w:val="0"/>
          <w:bCs w:val="0"/>
          <w:sz w:val="22"/>
          <w:szCs w:val="22"/>
        </w:rPr>
      </w:pPr>
      <w:r>
        <w:rPr>
          <w:b w:val="0"/>
          <w:bCs w:val="0"/>
          <w:sz w:val="22"/>
          <w:szCs w:val="22"/>
        </w:rPr>
        <w:lastRenderedPageBreak/>
        <w:t>Berezin, F. A. (1966). The Method of Second Quantization. Academic Press.</w:t>
      </w:r>
    </w:p>
    <w:p w14:paraId="59958958" w14:textId="77777777" w:rsidR="008D1038" w:rsidRPr="008D1038" w:rsidRDefault="008D1038" w:rsidP="008D1038">
      <w:pPr>
        <w:pStyle w:val="Heading1"/>
        <w:rPr>
          <w:b w:val="0"/>
          <w:bCs w:val="0"/>
          <w:sz w:val="22"/>
          <w:szCs w:val="22"/>
        </w:rPr>
      </w:pPr>
      <w:r>
        <w:rPr>
          <w:b w:val="0"/>
          <w:bCs w:val="0"/>
          <w:sz w:val="22"/>
          <w:szCs w:val="22"/>
        </w:rPr>
        <w:t>Berezin, F. A. (1979). Differential forms on supermanifolds. Theoretical and Mathematical Physics, 39(2), 463–470.</w:t>
      </w:r>
    </w:p>
    <w:p w14:paraId="58C2CC69" w14:textId="77777777" w:rsidR="008D1038" w:rsidRPr="008D1038" w:rsidRDefault="008D1038" w:rsidP="008D1038">
      <w:pPr>
        <w:pStyle w:val="Heading1"/>
        <w:rPr>
          <w:b w:val="0"/>
          <w:bCs w:val="0"/>
          <w:sz w:val="22"/>
          <w:szCs w:val="22"/>
        </w:rPr>
      </w:pPr>
      <w:r>
        <w:rPr>
          <w:b w:val="0"/>
          <w:bCs w:val="0"/>
          <w:sz w:val="22"/>
          <w:szCs w:val="22"/>
        </w:rPr>
        <w:t>Berezin, F. A. (1987). Introduction to Superanalysis. D. Reidel Publishing Company.</w:t>
      </w:r>
    </w:p>
    <w:p w14:paraId="4428B102" w14:textId="77777777" w:rsidR="008D1038" w:rsidRPr="008D1038" w:rsidRDefault="008D1038" w:rsidP="008D1038">
      <w:pPr>
        <w:pStyle w:val="Heading1"/>
        <w:rPr>
          <w:b w:val="0"/>
          <w:bCs w:val="0"/>
          <w:sz w:val="22"/>
          <w:szCs w:val="22"/>
        </w:rPr>
      </w:pPr>
      <w:r>
        <w:rPr>
          <w:b w:val="0"/>
          <w:bCs w:val="0"/>
          <w:sz w:val="22"/>
          <w:szCs w:val="22"/>
        </w:rPr>
        <w:t>Campbell, L. L. (1985). An information distance and its relation to analog channels. Information Sciences, 35(3), 199–208.</w:t>
      </w:r>
    </w:p>
    <w:p w14:paraId="681B83E6" w14:textId="77777777" w:rsidR="008D1038" w:rsidRPr="008D1038" w:rsidRDefault="008D1038" w:rsidP="008D1038">
      <w:pPr>
        <w:pStyle w:val="Heading1"/>
        <w:rPr>
          <w:b w:val="0"/>
          <w:bCs w:val="0"/>
          <w:sz w:val="22"/>
          <w:szCs w:val="22"/>
        </w:rPr>
      </w:pPr>
      <w:r>
        <w:rPr>
          <w:b w:val="0"/>
          <w:bCs w:val="0"/>
          <w:sz w:val="22"/>
          <w:szCs w:val="22"/>
        </w:rPr>
        <w:t>Chentsov, N. N. (1972). Statistical Decision Rules and Optimal Inference. Nauka. (English translation: Cencov, N. N. [1982]. American Mathematical Society).</w:t>
      </w:r>
    </w:p>
    <w:p w14:paraId="029FF729" w14:textId="77777777" w:rsidR="008D1038" w:rsidRPr="008D1038" w:rsidRDefault="008D1038" w:rsidP="008D1038">
      <w:pPr>
        <w:pStyle w:val="Heading1"/>
        <w:rPr>
          <w:b w:val="0"/>
          <w:bCs w:val="0"/>
          <w:sz w:val="22"/>
          <w:szCs w:val="22"/>
        </w:rPr>
      </w:pPr>
      <w:r>
        <w:rPr>
          <w:b w:val="0"/>
          <w:bCs w:val="0"/>
          <w:sz w:val="22"/>
          <w:szCs w:val="22"/>
        </w:rPr>
        <w:t>Chill, R. (2003). On the Łojasiewicz–Simon gradient inequality. Journal of Functional Analysis, 201(2), 572–601.</w:t>
      </w:r>
    </w:p>
    <w:p w14:paraId="4DD982E3" w14:textId="77777777" w:rsidR="008D1038" w:rsidRPr="008D1038" w:rsidRDefault="008D1038" w:rsidP="008D1038">
      <w:pPr>
        <w:pStyle w:val="Heading1"/>
        <w:rPr>
          <w:b w:val="0"/>
          <w:bCs w:val="0"/>
          <w:sz w:val="22"/>
          <w:szCs w:val="22"/>
        </w:rPr>
      </w:pPr>
      <w:r>
        <w:rPr>
          <w:b w:val="0"/>
          <w:bCs w:val="0"/>
          <w:sz w:val="22"/>
          <w:szCs w:val="22"/>
        </w:rPr>
        <w:t>Di Paolo, E. A. (2005). Autopoiesis, adaptivity, teleology, agency. Phenomenology and the Cognitive Sciences, 4(4), 429–452.</w:t>
      </w:r>
    </w:p>
    <w:p w14:paraId="2C7F11A4" w14:textId="77777777" w:rsidR="008D1038" w:rsidRPr="008D1038" w:rsidRDefault="008D1038" w:rsidP="008D1038">
      <w:pPr>
        <w:pStyle w:val="Heading1"/>
        <w:rPr>
          <w:b w:val="0"/>
          <w:bCs w:val="0"/>
          <w:sz w:val="22"/>
          <w:szCs w:val="22"/>
        </w:rPr>
      </w:pPr>
      <w:r>
        <w:rPr>
          <w:b w:val="0"/>
          <w:bCs w:val="0"/>
          <w:sz w:val="22"/>
          <w:szCs w:val="22"/>
        </w:rPr>
        <w:t>Dowson, D. C., &amp; Landau, B. V. (1982). The Fréchet distance between multivariate normal distributions. Journal of Multivariate Analysis, 12(3), 450–455.</w:t>
      </w:r>
    </w:p>
    <w:p w14:paraId="21D47C86" w14:textId="77777777" w:rsidR="008D1038" w:rsidRPr="008D1038" w:rsidRDefault="008D1038" w:rsidP="008D1038">
      <w:pPr>
        <w:pStyle w:val="Heading1"/>
        <w:rPr>
          <w:b w:val="0"/>
          <w:bCs w:val="0"/>
          <w:sz w:val="22"/>
          <w:szCs w:val="22"/>
        </w:rPr>
      </w:pPr>
      <w:r>
        <w:rPr>
          <w:b w:val="0"/>
          <w:bCs w:val="0"/>
          <w:sz w:val="22"/>
          <w:szCs w:val="22"/>
        </w:rPr>
        <w:t>Feireisl, E., &amp; Simondon, F. (2000). Convergence for non-linear degenerate parabolic equations in one space dimension. Journal of Differential Equations, 166(2), 439–467.</w:t>
      </w:r>
    </w:p>
    <w:p w14:paraId="6FB9E024" w14:textId="77777777" w:rsidR="008D1038" w:rsidRPr="008D1038" w:rsidRDefault="008D1038" w:rsidP="008D1038">
      <w:pPr>
        <w:pStyle w:val="Heading1"/>
        <w:rPr>
          <w:b w:val="0"/>
          <w:bCs w:val="0"/>
          <w:sz w:val="22"/>
          <w:szCs w:val="22"/>
        </w:rPr>
      </w:pPr>
      <w:r>
        <w:rPr>
          <w:b w:val="0"/>
          <w:bCs w:val="0"/>
          <w:sz w:val="22"/>
          <w:szCs w:val="22"/>
        </w:rPr>
        <w:t>Frieden, B. R. (2004). Science from Fisher Information: A Unification (2nd ed.). Cambridge University Press.</w:t>
      </w:r>
    </w:p>
    <w:p w14:paraId="48D8BF83" w14:textId="77777777" w:rsidR="008D1038" w:rsidRPr="008D1038" w:rsidRDefault="008D1038" w:rsidP="008D1038">
      <w:pPr>
        <w:pStyle w:val="Heading1"/>
        <w:rPr>
          <w:b w:val="0"/>
          <w:bCs w:val="0"/>
          <w:sz w:val="22"/>
          <w:szCs w:val="22"/>
        </w:rPr>
      </w:pPr>
      <w:r>
        <w:rPr>
          <w:b w:val="0"/>
          <w:bCs w:val="0"/>
          <w:sz w:val="22"/>
          <w:szCs w:val="22"/>
        </w:rPr>
        <w:t>Frieden, B. R., &amp; Soffer, A. (1995). Lagrangians of physics and the principle of extreme physical information. Physical Review E, 52(3), 2274–2288.</w:t>
      </w:r>
    </w:p>
    <w:p w14:paraId="3E37D6F0" w14:textId="77777777" w:rsidR="008D1038" w:rsidRPr="008D1038" w:rsidRDefault="008D1038" w:rsidP="008D1038">
      <w:pPr>
        <w:pStyle w:val="Heading1"/>
        <w:rPr>
          <w:b w:val="0"/>
          <w:bCs w:val="0"/>
          <w:sz w:val="22"/>
          <w:szCs w:val="22"/>
        </w:rPr>
      </w:pPr>
      <w:r>
        <w:rPr>
          <w:b w:val="0"/>
          <w:bCs w:val="0"/>
          <w:sz w:val="22"/>
          <w:szCs w:val="22"/>
        </w:rPr>
        <w:t>Gaveau, B., Jacobson, T., Kac, M., &amp; Schulman, L. S. (1984). Relativistic extension of the analogy between quantum mechanics and Brownian motion. Physical Review Letters, 53(5), 419–422.</w:t>
      </w:r>
    </w:p>
    <w:p w14:paraId="7F3D8090" w14:textId="77777777" w:rsidR="008D1038" w:rsidRPr="008D1038" w:rsidRDefault="008D1038" w:rsidP="008D1038">
      <w:pPr>
        <w:pStyle w:val="Heading1"/>
        <w:rPr>
          <w:b w:val="0"/>
          <w:bCs w:val="0"/>
          <w:sz w:val="22"/>
          <w:szCs w:val="22"/>
        </w:rPr>
      </w:pPr>
      <w:r>
        <w:rPr>
          <w:b w:val="0"/>
          <w:bCs w:val="0"/>
          <w:sz w:val="22"/>
          <w:szCs w:val="22"/>
        </w:rPr>
        <w:t>Goldstein, S. (1951). On diffusion by discontinuous movements, and on the telegraph equation. The Quarterly Journal of Mechanics and Applied Mathematics, 4(2), 129–156.</w:t>
      </w:r>
    </w:p>
    <w:p w14:paraId="757A0A2C" w14:textId="77777777" w:rsidR="008D1038" w:rsidRPr="008D1038" w:rsidRDefault="008D1038" w:rsidP="008D1038">
      <w:pPr>
        <w:pStyle w:val="Heading1"/>
        <w:rPr>
          <w:b w:val="0"/>
          <w:bCs w:val="0"/>
          <w:sz w:val="22"/>
          <w:szCs w:val="22"/>
        </w:rPr>
      </w:pPr>
      <w:r>
        <w:rPr>
          <w:b w:val="0"/>
          <w:bCs w:val="0"/>
          <w:sz w:val="22"/>
          <w:szCs w:val="22"/>
        </w:rPr>
        <w:t>Griffiths, P., &amp; Harris, J. (1978). Principles of Algebraic Geometry. John Wiley &amp; Sons.</w:t>
      </w:r>
    </w:p>
    <w:p w14:paraId="65E52F8B" w14:textId="77777777" w:rsidR="003D4506" w:rsidRPr="003D4506" w:rsidRDefault="003D4506" w:rsidP="003D4506">
      <w:pPr>
        <w:pStyle w:val="Heading1"/>
        <w:rPr>
          <w:b w:val="0"/>
          <w:bCs w:val="0"/>
          <w:sz w:val="22"/>
          <w:szCs w:val="22"/>
        </w:rPr>
      </w:pPr>
      <w:r>
        <w:rPr>
          <w:b w:val="0"/>
          <w:bCs w:val="0"/>
          <w:sz w:val="22"/>
          <w:szCs w:val="22"/>
        </w:rPr>
        <w:t xml:space="preserve">Holland, J. H. (1992). </w:t>
      </w:r>
      <w:r>
        <w:rPr>
          <w:b w:val="0"/>
          <w:bCs w:val="0"/>
          <w:i/>
          <w:iCs/>
          <w:sz w:val="22"/>
          <w:szCs w:val="22"/>
        </w:rPr>
        <w:t>Complex adaptive systems</w:t>
      </w:r>
      <w:r>
        <w:rPr>
          <w:b w:val="0"/>
          <w:bCs w:val="0"/>
          <w:sz w:val="22"/>
          <w:szCs w:val="22"/>
        </w:rPr>
        <w:t>. Daedalus, 121(1), 17–30.</w:t>
      </w:r>
    </w:p>
    <w:p w14:paraId="245DE78D" w14:textId="77777777" w:rsidR="003D4506" w:rsidRPr="003D4506" w:rsidRDefault="003D4506" w:rsidP="003D4506">
      <w:pPr>
        <w:pStyle w:val="Heading1"/>
        <w:rPr>
          <w:b w:val="0"/>
          <w:bCs w:val="0"/>
          <w:sz w:val="22"/>
          <w:szCs w:val="22"/>
        </w:rPr>
      </w:pPr>
      <w:r>
        <w:rPr>
          <w:b w:val="0"/>
          <w:bCs w:val="0"/>
          <w:sz w:val="22"/>
          <w:szCs w:val="22"/>
        </w:rPr>
        <w:t xml:space="preserve">Holland, J. H. (1995). </w:t>
      </w:r>
      <w:r>
        <w:rPr>
          <w:b w:val="0"/>
          <w:bCs w:val="0"/>
          <w:i/>
          <w:iCs/>
          <w:sz w:val="22"/>
          <w:szCs w:val="22"/>
        </w:rPr>
        <w:t>Hidden order: How adaptation builds complexity</w:t>
      </w:r>
      <w:r>
        <w:rPr>
          <w:b w:val="0"/>
          <w:bCs w:val="0"/>
          <w:sz w:val="22"/>
          <w:szCs w:val="22"/>
        </w:rPr>
        <w:t>. Addison</w:t>
      </w:r>
      <w:r>
        <w:rPr>
          <w:b w:val="0"/>
          <w:bCs w:val="0"/>
          <w:sz w:val="22"/>
          <w:szCs w:val="22"/>
        </w:rPr>
        <w:noBreakHyphen/>
        <w:t>Wesley.</w:t>
      </w:r>
    </w:p>
    <w:p w14:paraId="4188CFF5" w14:textId="77777777" w:rsidR="008D1038" w:rsidRPr="008D1038" w:rsidRDefault="008D1038" w:rsidP="008D1038">
      <w:pPr>
        <w:pStyle w:val="Heading1"/>
        <w:rPr>
          <w:b w:val="0"/>
          <w:bCs w:val="0"/>
          <w:sz w:val="22"/>
          <w:szCs w:val="22"/>
        </w:rPr>
      </w:pPr>
      <w:r>
        <w:rPr>
          <w:b w:val="0"/>
          <w:bCs w:val="0"/>
          <w:sz w:val="22"/>
          <w:szCs w:val="22"/>
        </w:rPr>
        <w:t>Jendoubi, M. A. (1998). A simple approach to the Łojasiewicz–Simon formula. Journal of Functional Analysis, 153(1), 187–202.</w:t>
      </w:r>
    </w:p>
    <w:p w14:paraId="389ECBA3" w14:textId="77777777" w:rsidR="008D1038" w:rsidRPr="008D1038" w:rsidRDefault="008D1038" w:rsidP="008D1038">
      <w:pPr>
        <w:pStyle w:val="Heading1"/>
        <w:rPr>
          <w:b w:val="0"/>
          <w:bCs w:val="0"/>
          <w:sz w:val="22"/>
          <w:szCs w:val="22"/>
        </w:rPr>
      </w:pPr>
      <w:r>
        <w:rPr>
          <w:b w:val="0"/>
          <w:bCs w:val="0"/>
          <w:sz w:val="22"/>
          <w:szCs w:val="22"/>
        </w:rPr>
        <w:lastRenderedPageBreak/>
        <w:t>Kac, M. (1956). Foundations of kinetic theory. Proceedings of the Third Berkeley Symposium on Mathematical Statistics and Probability, 3, 171–197.</w:t>
      </w:r>
    </w:p>
    <w:p w14:paraId="3EF6F9B1" w14:textId="77777777" w:rsidR="008D1038" w:rsidRPr="008D1038" w:rsidRDefault="008D1038" w:rsidP="008D1038">
      <w:pPr>
        <w:pStyle w:val="Heading1"/>
        <w:rPr>
          <w:b w:val="0"/>
          <w:bCs w:val="0"/>
          <w:sz w:val="22"/>
          <w:szCs w:val="22"/>
        </w:rPr>
      </w:pPr>
      <w:r>
        <w:rPr>
          <w:b w:val="0"/>
          <w:bCs w:val="0"/>
          <w:sz w:val="22"/>
          <w:szCs w:val="22"/>
        </w:rPr>
        <w:t>Kac, M. (1974). A stochastic model related to the telegrapher's equation. Rocky Mountain Journal of Mathematics, 4(3), 497–510.</w:t>
      </w:r>
    </w:p>
    <w:p w14:paraId="23D5CE19" w14:textId="77777777" w:rsidR="008D1038" w:rsidRPr="008D1038" w:rsidRDefault="008D1038" w:rsidP="008D1038">
      <w:pPr>
        <w:pStyle w:val="Heading1"/>
        <w:rPr>
          <w:b w:val="0"/>
          <w:bCs w:val="0"/>
          <w:sz w:val="22"/>
          <w:szCs w:val="22"/>
        </w:rPr>
      </w:pPr>
      <w:r>
        <w:rPr>
          <w:b w:val="0"/>
          <w:bCs w:val="0"/>
          <w:sz w:val="22"/>
          <w:szCs w:val="22"/>
        </w:rPr>
        <w:t>Knuth, D. E. (1996). Overlapping pfaffians. Electronic Journal of Combinatorics, 3(2), 1–13.</w:t>
      </w:r>
    </w:p>
    <w:p w14:paraId="5C5063E8" w14:textId="77777777" w:rsidR="008D1038" w:rsidRPr="008D1038" w:rsidRDefault="008D1038" w:rsidP="008D1038">
      <w:pPr>
        <w:pStyle w:val="Heading1"/>
        <w:rPr>
          <w:b w:val="0"/>
          <w:bCs w:val="0"/>
          <w:sz w:val="22"/>
          <w:szCs w:val="22"/>
        </w:rPr>
      </w:pPr>
      <w:r>
        <w:rPr>
          <w:b w:val="0"/>
          <w:bCs w:val="0"/>
          <w:sz w:val="22"/>
          <w:szCs w:val="22"/>
        </w:rPr>
        <w:t>Landauer, R. (1961). Irreversibility and heat generation in the computing process. IBM Journal of Research and Development, 5(3), 183–191.</w:t>
      </w:r>
    </w:p>
    <w:p w14:paraId="1315986C" w14:textId="77777777" w:rsidR="008D1038" w:rsidRPr="008D1038" w:rsidRDefault="008D1038" w:rsidP="008D1038">
      <w:pPr>
        <w:pStyle w:val="Heading1"/>
        <w:rPr>
          <w:b w:val="0"/>
          <w:bCs w:val="0"/>
          <w:sz w:val="22"/>
          <w:szCs w:val="22"/>
        </w:rPr>
      </w:pPr>
      <w:r>
        <w:rPr>
          <w:b w:val="0"/>
          <w:bCs w:val="0"/>
          <w:sz w:val="22"/>
          <w:szCs w:val="22"/>
        </w:rPr>
        <w:t>Lefschetz, S. (1924). L'Analyse situs et la géométrie algébrique. Gauthier-Villars.</w:t>
      </w:r>
    </w:p>
    <w:p w14:paraId="3E85123E" w14:textId="77777777" w:rsidR="008D1038" w:rsidRPr="008D1038" w:rsidRDefault="008D1038" w:rsidP="008D1038">
      <w:pPr>
        <w:pStyle w:val="Heading1"/>
        <w:rPr>
          <w:b w:val="0"/>
          <w:bCs w:val="0"/>
          <w:sz w:val="22"/>
          <w:szCs w:val="22"/>
        </w:rPr>
      </w:pPr>
      <w:r>
        <w:rPr>
          <w:b w:val="0"/>
          <w:bCs w:val="0"/>
          <w:sz w:val="22"/>
          <w:szCs w:val="22"/>
        </w:rPr>
        <w:t>Lin, C.-K. (2026a). Metavariational Stability Schema (MSS): Generative Rigidity and Admissible Structure. Independent monograph. [Manuscript in preparation.]</w:t>
      </w:r>
    </w:p>
    <w:p w14:paraId="1219B868" w14:textId="77777777" w:rsidR="008D1038" w:rsidRPr="008D1038" w:rsidRDefault="008D1038" w:rsidP="008D1038">
      <w:pPr>
        <w:pStyle w:val="Heading1"/>
        <w:rPr>
          <w:b w:val="0"/>
          <w:bCs w:val="0"/>
          <w:sz w:val="22"/>
          <w:szCs w:val="22"/>
        </w:rPr>
      </w:pPr>
      <w:r>
        <w:rPr>
          <w:b w:val="0"/>
          <w:bCs w:val="0"/>
          <w:sz w:val="22"/>
          <w:szCs w:val="22"/>
        </w:rPr>
        <w:t>Lin, C.-K. (2026b). Third-Order Cybernetics: Generative Rigidity, Information Manifolds, and the Physics of Existence. Independent monograph. [Manuscript in preparation.]</w:t>
      </w:r>
    </w:p>
    <w:p w14:paraId="7FC42620" w14:textId="77777777" w:rsidR="008D1038" w:rsidRPr="008D1038" w:rsidRDefault="008D1038" w:rsidP="008D1038">
      <w:pPr>
        <w:pStyle w:val="Heading1"/>
        <w:rPr>
          <w:b w:val="0"/>
          <w:bCs w:val="0"/>
          <w:sz w:val="22"/>
          <w:szCs w:val="22"/>
        </w:rPr>
      </w:pPr>
      <w:r>
        <w:rPr>
          <w:b w:val="0"/>
          <w:bCs w:val="0"/>
          <w:sz w:val="22"/>
          <w:szCs w:val="22"/>
        </w:rPr>
        <w:t>Lin, C.-K., &amp; Yolles, M. (2026a). Imperative Theory, Butterfly Theory, and the Bos–Einstein Dispute. [Manuscript in preparation.]</w:t>
      </w:r>
    </w:p>
    <w:p w14:paraId="22F78A3F" w14:textId="77777777" w:rsidR="008D1038" w:rsidRPr="008D1038" w:rsidRDefault="008D1038" w:rsidP="008D1038">
      <w:pPr>
        <w:pStyle w:val="Heading1"/>
        <w:rPr>
          <w:b w:val="0"/>
          <w:bCs w:val="0"/>
          <w:sz w:val="22"/>
          <w:szCs w:val="22"/>
        </w:rPr>
      </w:pPr>
      <w:r>
        <w:rPr>
          <w:b w:val="0"/>
          <w:bCs w:val="0"/>
          <w:sz w:val="22"/>
          <w:szCs w:val="22"/>
        </w:rPr>
        <w:t>Lin, C.-K., &amp; Yolles, M. (2026b). Metacybernetics and the Informational Architecture of Recursive Agency. [Manuscript in preparation.]</w:t>
      </w:r>
    </w:p>
    <w:p w14:paraId="0D7F46AA" w14:textId="77777777" w:rsidR="008D1038" w:rsidRPr="008D1038" w:rsidRDefault="008D1038" w:rsidP="008D1038">
      <w:pPr>
        <w:pStyle w:val="Heading1"/>
        <w:rPr>
          <w:b w:val="0"/>
          <w:bCs w:val="0"/>
          <w:sz w:val="22"/>
          <w:szCs w:val="22"/>
        </w:rPr>
      </w:pPr>
      <w:r>
        <w:rPr>
          <w:b w:val="0"/>
          <w:bCs w:val="0"/>
          <w:sz w:val="22"/>
          <w:szCs w:val="22"/>
        </w:rPr>
        <w:t>Lin, C.-K., &amp; Yolles, M. (2026c). The Universal S0–S4–S0′ Matrix. [Manuscript in preparation.]</w:t>
      </w:r>
    </w:p>
    <w:p w14:paraId="66C6AEF0" w14:textId="77777777" w:rsidR="008D1038" w:rsidRPr="008D1038" w:rsidRDefault="008D1038" w:rsidP="008D1038">
      <w:pPr>
        <w:pStyle w:val="Heading1"/>
        <w:rPr>
          <w:b w:val="0"/>
          <w:bCs w:val="0"/>
          <w:sz w:val="22"/>
          <w:szCs w:val="22"/>
        </w:rPr>
      </w:pPr>
      <w:r>
        <w:rPr>
          <w:b w:val="0"/>
          <w:bCs w:val="0"/>
          <w:sz w:val="22"/>
          <w:szCs w:val="22"/>
        </w:rPr>
        <w:t>Łojasiewicz, S. (1965). Ensembles semi-analytiques. Notes, Institut des Hautes Études Scientifiques.</w:t>
      </w:r>
    </w:p>
    <w:p w14:paraId="6F321C74" w14:textId="77777777" w:rsidR="008D1038" w:rsidRPr="008D1038" w:rsidRDefault="008D1038" w:rsidP="008D1038">
      <w:pPr>
        <w:pStyle w:val="Heading1"/>
        <w:rPr>
          <w:b w:val="0"/>
          <w:bCs w:val="0"/>
          <w:sz w:val="22"/>
          <w:szCs w:val="22"/>
        </w:rPr>
      </w:pPr>
      <w:r>
        <w:rPr>
          <w:b w:val="0"/>
          <w:bCs w:val="0"/>
          <w:sz w:val="22"/>
          <w:szCs w:val="22"/>
        </w:rPr>
        <w:t>Łojasiewicz, S. (1993). Sur la géométrie semi-analytique. Bulletin de l’Académie Polonaise des Sciences, 11, 163–169.</w:t>
      </w:r>
    </w:p>
    <w:p w14:paraId="707A843A" w14:textId="77777777" w:rsidR="008D1038" w:rsidRPr="008D1038" w:rsidRDefault="008D1038" w:rsidP="008D1038">
      <w:pPr>
        <w:pStyle w:val="Heading1"/>
        <w:rPr>
          <w:b w:val="0"/>
          <w:bCs w:val="0"/>
          <w:sz w:val="22"/>
          <w:szCs w:val="22"/>
        </w:rPr>
      </w:pPr>
      <w:r>
        <w:rPr>
          <w:b w:val="0"/>
          <w:bCs w:val="0"/>
          <w:sz w:val="22"/>
          <w:szCs w:val="22"/>
        </w:rPr>
        <w:t>Maturana, H. R., &amp; Varela, F. J. (1980). Autopoiesis and Cognition: The Realization of the Living. D. Reidel Publishing Company.</w:t>
      </w:r>
    </w:p>
    <w:p w14:paraId="272F891A" w14:textId="77777777" w:rsidR="008D1038" w:rsidRPr="008D1038" w:rsidRDefault="008D1038" w:rsidP="008D1038">
      <w:pPr>
        <w:pStyle w:val="Heading1"/>
        <w:rPr>
          <w:b w:val="0"/>
          <w:bCs w:val="0"/>
          <w:sz w:val="22"/>
          <w:szCs w:val="22"/>
        </w:rPr>
      </w:pPr>
      <w:r>
        <w:rPr>
          <w:b w:val="0"/>
          <w:bCs w:val="0"/>
          <w:sz w:val="22"/>
          <w:szCs w:val="22"/>
        </w:rPr>
        <w:t>Milnor, J. (1968). Singular Points of Complex Hypersurfaces. Princeton University Press.</w:t>
      </w:r>
    </w:p>
    <w:p w14:paraId="65AB70CD" w14:textId="77777777" w:rsidR="008D1038" w:rsidRPr="008D1038" w:rsidRDefault="008D1038" w:rsidP="008D1038">
      <w:pPr>
        <w:pStyle w:val="Heading1"/>
        <w:rPr>
          <w:b w:val="0"/>
          <w:bCs w:val="0"/>
          <w:sz w:val="22"/>
          <w:szCs w:val="22"/>
        </w:rPr>
      </w:pPr>
      <w:r>
        <w:rPr>
          <w:b w:val="0"/>
          <w:bCs w:val="0"/>
          <w:sz w:val="22"/>
          <w:szCs w:val="22"/>
        </w:rPr>
        <w:t>Nelson, E. (1966). Derivation of the Schrödinger equation from Newtonian mechanics. Physical Review, 150(4), 1079–1085.</w:t>
      </w:r>
    </w:p>
    <w:p w14:paraId="7D1357D0" w14:textId="77777777" w:rsidR="008D1038" w:rsidRPr="008D1038" w:rsidRDefault="008D1038" w:rsidP="008D1038">
      <w:pPr>
        <w:pStyle w:val="Heading1"/>
        <w:rPr>
          <w:b w:val="0"/>
          <w:bCs w:val="0"/>
          <w:sz w:val="22"/>
          <w:szCs w:val="22"/>
        </w:rPr>
      </w:pPr>
      <w:r>
        <w:rPr>
          <w:b w:val="0"/>
          <w:bCs w:val="0"/>
          <w:sz w:val="22"/>
          <w:szCs w:val="22"/>
        </w:rPr>
        <w:t>Nelson, E. (1984). Stochastic Mechanics and Random Fields. École d’Été de Probabilités de Saint-Flour, Lecture Notes in Mathematics, Springer.</w:t>
      </w:r>
    </w:p>
    <w:p w14:paraId="6A1CC39E" w14:textId="77777777" w:rsidR="008D1038" w:rsidRPr="008D1038" w:rsidRDefault="008D1038" w:rsidP="008D1038">
      <w:pPr>
        <w:pStyle w:val="Heading1"/>
        <w:rPr>
          <w:b w:val="0"/>
          <w:bCs w:val="0"/>
          <w:sz w:val="22"/>
          <w:szCs w:val="22"/>
        </w:rPr>
      </w:pPr>
      <w:r>
        <w:rPr>
          <w:b w:val="0"/>
          <w:bCs w:val="0"/>
          <w:sz w:val="22"/>
          <w:szCs w:val="22"/>
        </w:rPr>
        <w:t>Nelson, E. (1985). Quantum Fluctuations. Princeton University Press.</w:t>
      </w:r>
    </w:p>
    <w:p w14:paraId="6C896461" w14:textId="77777777" w:rsidR="008D1038" w:rsidRPr="008D1038" w:rsidRDefault="008D1038" w:rsidP="008D1038">
      <w:pPr>
        <w:pStyle w:val="Heading1"/>
        <w:rPr>
          <w:b w:val="0"/>
          <w:bCs w:val="0"/>
          <w:sz w:val="22"/>
          <w:szCs w:val="22"/>
        </w:rPr>
      </w:pPr>
      <w:r>
        <w:rPr>
          <w:b w:val="0"/>
          <w:bCs w:val="0"/>
          <w:sz w:val="22"/>
          <w:szCs w:val="22"/>
        </w:rPr>
        <w:lastRenderedPageBreak/>
        <w:t>Rosenkrantz, W. A. (1989). The telegrapher’s equation: Its relationship to the Bloch equation and some explicit solutions. Journal of Mathematical Physics, 30(2), 309–311.</w:t>
      </w:r>
    </w:p>
    <w:p w14:paraId="6DDCD13A" w14:textId="77777777" w:rsidR="008D1038" w:rsidRPr="008D1038" w:rsidRDefault="008D1038" w:rsidP="008D1038">
      <w:pPr>
        <w:pStyle w:val="Heading1"/>
        <w:rPr>
          <w:b w:val="0"/>
          <w:bCs w:val="0"/>
          <w:sz w:val="22"/>
          <w:szCs w:val="22"/>
        </w:rPr>
      </w:pPr>
      <w:r>
        <w:rPr>
          <w:b w:val="0"/>
          <w:bCs w:val="0"/>
          <w:sz w:val="22"/>
          <w:szCs w:val="22"/>
        </w:rPr>
        <w:t>Simon, L. (1983). Asymptotics for a class of non-linear evolution equations, with applications to geometric problems. Annals of Mathematics, 118(3), 525–571.</w:t>
      </w:r>
    </w:p>
    <w:p w14:paraId="4B537ECD" w14:textId="77777777" w:rsidR="008D1038" w:rsidRPr="008D1038" w:rsidRDefault="008D1038" w:rsidP="008D1038">
      <w:pPr>
        <w:pStyle w:val="Heading1"/>
        <w:rPr>
          <w:b w:val="0"/>
          <w:bCs w:val="0"/>
          <w:sz w:val="22"/>
          <w:szCs w:val="22"/>
        </w:rPr>
      </w:pPr>
      <w:r>
        <w:rPr>
          <w:b w:val="0"/>
          <w:bCs w:val="0"/>
          <w:sz w:val="22"/>
          <w:szCs w:val="22"/>
        </w:rPr>
        <w:t>Simon, L. (1996). Theorems on Regularity and Singularity of Energy Minimizing Maps. Birkhäuser.</w:t>
      </w:r>
    </w:p>
    <w:p w14:paraId="5D346B7E" w14:textId="77777777" w:rsidR="008D1038" w:rsidRPr="008D1038" w:rsidRDefault="008D1038" w:rsidP="008D1038">
      <w:pPr>
        <w:pStyle w:val="Heading1"/>
        <w:rPr>
          <w:b w:val="0"/>
          <w:bCs w:val="0"/>
          <w:sz w:val="22"/>
          <w:szCs w:val="22"/>
        </w:rPr>
      </w:pPr>
      <w:r>
        <w:rPr>
          <w:b w:val="0"/>
          <w:bCs w:val="0"/>
          <w:sz w:val="22"/>
          <w:szCs w:val="22"/>
        </w:rPr>
        <w:t>Thompson, E. (2007). Mind in Life: Biology, Phenomenology, and the Sciences of Mind. Harvard University Press.</w:t>
      </w:r>
    </w:p>
    <w:p w14:paraId="3F0CA5A1" w14:textId="77777777" w:rsidR="008D1038" w:rsidRPr="008D1038" w:rsidRDefault="008D1038" w:rsidP="008D1038">
      <w:pPr>
        <w:pStyle w:val="Heading1"/>
        <w:rPr>
          <w:b w:val="0"/>
          <w:bCs w:val="0"/>
          <w:sz w:val="22"/>
          <w:szCs w:val="22"/>
        </w:rPr>
      </w:pPr>
      <w:r>
        <w:rPr>
          <w:b w:val="0"/>
          <w:bCs w:val="0"/>
          <w:sz w:val="22"/>
          <w:szCs w:val="22"/>
        </w:rPr>
        <w:t>Varela, F. J. (1979). Principles of Biological Autopoiesis. North Holland.</w:t>
      </w:r>
    </w:p>
    <w:p w14:paraId="633AD7B2" w14:textId="77777777" w:rsidR="008D1038" w:rsidRPr="008D1038" w:rsidRDefault="008D1038" w:rsidP="008D1038">
      <w:pPr>
        <w:pStyle w:val="Heading1"/>
        <w:rPr>
          <w:b w:val="0"/>
          <w:bCs w:val="0"/>
          <w:sz w:val="22"/>
          <w:szCs w:val="22"/>
        </w:rPr>
      </w:pPr>
      <w:r>
        <w:rPr>
          <w:b w:val="0"/>
          <w:bCs w:val="0"/>
          <w:sz w:val="22"/>
          <w:szCs w:val="22"/>
        </w:rPr>
        <w:t>Varela, F. J., Thompson, E., &amp; Rosch, E. (1991). The Embodied Mind: Cognitive Science and Human Experience. MIT Press.</w:t>
      </w:r>
    </w:p>
    <w:p w14:paraId="6371A912" w14:textId="77777777" w:rsidR="005F1B91" w:rsidRDefault="005F1B91" w:rsidP="00A84D0B">
      <w:pPr>
        <w:pStyle w:val="Heading1"/>
        <w:rPr>
          <w:b w:val="0"/>
          <w:bCs w:val="0"/>
          <w:sz w:val="22"/>
          <w:szCs w:val="22"/>
        </w:rPr>
      </w:pPr>
      <w:r>
        <w:rPr>
          <w:b w:val="0"/>
          <w:bCs w:val="0"/>
          <w:sz w:val="22"/>
          <w:szCs w:val="22"/>
        </w:rPr>
        <w:t>Yolles, M. I. (2025). </w:t>
      </w:r>
      <w:r>
        <w:rPr>
          <w:b w:val="0"/>
          <w:bCs w:val="0"/>
          <w:i/>
          <w:iCs/>
          <w:sz w:val="22"/>
          <w:szCs w:val="22"/>
        </w:rPr>
        <w:t>Informational Realism: The Fisher Information Field Theory</w:t>
      </w:r>
      <w:r>
        <w:rPr>
          <w:b w:val="0"/>
          <w:bCs w:val="0"/>
          <w:sz w:val="22"/>
          <w:szCs w:val="22"/>
        </w:rPr>
        <w:t>. Zenodo preprint. </w:t>
      </w:r>
      <w:hyperlink r:id="rId12" w:tgtFrame="_blank" w:history="1">
        <w:r>
          <w:rPr>
            <w:rStyle w:val="Hyperlink"/>
            <w:b w:val="0"/>
            <w:bCs w:val="0"/>
            <w:sz w:val="22"/>
            <w:szCs w:val="22"/>
          </w:rPr>
          <w:t>https://doi.org/10.5281/zenodo.15445518</w:t>
        </w:r>
      </w:hyperlink>
    </w:p>
    <w:p w14:paraId="1A6FF67A" w14:textId="77777777" w:rsidR="00A84D0B" w:rsidRPr="00A84D0B" w:rsidRDefault="00A84D0B" w:rsidP="00A84D0B">
      <w:pPr>
        <w:pStyle w:val="Heading1"/>
        <w:rPr>
          <w:b w:val="0"/>
          <w:bCs w:val="0"/>
          <w:sz w:val="22"/>
          <w:szCs w:val="22"/>
        </w:rPr>
      </w:pPr>
      <w:r>
        <w:rPr>
          <w:b w:val="0"/>
          <w:bCs w:val="0"/>
          <w:sz w:val="22"/>
          <w:szCs w:val="22"/>
        </w:rPr>
        <w:t xml:space="preserve">Yolles, M.I. (2026). Metacybernetics: Aspect Traits and Fractal Patterns in Higher-Order Cybernetics. </w:t>
      </w:r>
      <w:r>
        <w:rPr>
          <w:b w:val="0"/>
          <w:bCs w:val="0"/>
          <w:i/>
          <w:iCs/>
          <w:sz w:val="22"/>
          <w:szCs w:val="22"/>
        </w:rPr>
        <w:t>Systems</w:t>
      </w:r>
      <w:r>
        <w:rPr>
          <w:b w:val="0"/>
          <w:bCs w:val="0"/>
          <w:sz w:val="22"/>
          <w:szCs w:val="22"/>
        </w:rPr>
        <w:t xml:space="preserve">, </w:t>
      </w:r>
      <w:r>
        <w:rPr>
          <w:b w:val="0"/>
          <w:bCs w:val="0"/>
          <w:i/>
          <w:iCs/>
          <w:sz w:val="22"/>
          <w:szCs w:val="22"/>
        </w:rPr>
        <w:t>14</w:t>
      </w:r>
      <w:r>
        <w:rPr>
          <w:b w:val="0"/>
          <w:bCs w:val="0"/>
          <w:sz w:val="22"/>
          <w:szCs w:val="22"/>
        </w:rPr>
        <w:t xml:space="preserve">(5), 496. </w:t>
      </w:r>
      <w:hyperlink r:id="rId13" w:history="1">
        <w:r>
          <w:rPr>
            <w:rStyle w:val="Hyperlink"/>
            <w:b w:val="0"/>
            <w:bCs w:val="0"/>
            <w:sz w:val="22"/>
            <w:szCs w:val="22"/>
          </w:rPr>
          <w:t>https://doi.org/10.3390/systems14050496</w:t>
        </w:r>
      </w:hyperlink>
    </w:p>
    <w:p w14:paraId="544F5F1D" w14:textId="77777777" w:rsidR="00A84D0B" w:rsidRPr="00A84D0B" w:rsidRDefault="00A84D0B" w:rsidP="00A84D0B">
      <w:pPr>
        <w:pStyle w:val="Heading1"/>
        <w:rPr>
          <w:b w:val="0"/>
          <w:bCs w:val="0"/>
          <w:sz w:val="22"/>
          <w:szCs w:val="22"/>
        </w:rPr>
      </w:pPr>
      <w:r>
        <w:rPr>
          <w:b w:val="0"/>
          <w:bCs w:val="0"/>
          <w:sz w:val="22"/>
          <w:szCs w:val="22"/>
        </w:rPr>
        <w:t xml:space="preserve">Yolles, M.I. (2021). Metacybernetics: Towards a General Theory of Higher Order Cybernetics. </w:t>
      </w:r>
      <w:r>
        <w:rPr>
          <w:rStyle w:val="Emphasis"/>
          <w:b w:val="0"/>
          <w:bCs w:val="0"/>
          <w:sz w:val="22"/>
          <w:szCs w:val="22"/>
        </w:rPr>
        <w:t>Systems</w:t>
      </w:r>
      <w:r>
        <w:rPr>
          <w:b w:val="0"/>
          <w:bCs w:val="0"/>
          <w:sz w:val="22"/>
          <w:szCs w:val="22"/>
        </w:rPr>
        <w:t xml:space="preserve">, 9(2):34. https://doi.org/10.3390/systems9020034 </w:t>
      </w:r>
    </w:p>
    <w:p w14:paraId="0400CF9A" w14:textId="77777777" w:rsidR="008D1038" w:rsidRPr="008D1038" w:rsidRDefault="008D1038" w:rsidP="008D1038">
      <w:pPr>
        <w:pStyle w:val="Heading1"/>
        <w:rPr>
          <w:b w:val="0"/>
          <w:bCs w:val="0"/>
          <w:sz w:val="22"/>
          <w:szCs w:val="22"/>
        </w:rPr>
      </w:pPr>
      <w:r>
        <w:rPr>
          <w:b w:val="0"/>
          <w:bCs w:val="0"/>
          <w:sz w:val="22"/>
          <w:szCs w:val="22"/>
        </w:rPr>
        <w:t>Yolles, M. I., &amp; Lin, C.-K. (2025). What does it cost to bring forth a world? Enactment tension as a cybernetic measure of structural persistence in macro- and micro-contextual expression, Working Paper, Zenodo. DOI:10.5281/zenodo.20516928</w:t>
      </w:r>
    </w:p>
    <w:p w14:paraId="2E290849" w14:textId="77777777" w:rsidR="00A84D0B" w:rsidRDefault="00A84D0B" w:rsidP="00A84D0B">
      <w:pPr>
        <w:pStyle w:val="Heading1"/>
        <w:rPr>
          <w:b w:val="0"/>
          <w:bCs w:val="0"/>
          <w:sz w:val="22"/>
          <w:szCs w:val="22"/>
        </w:rPr>
      </w:pPr>
      <w:r>
        <w:rPr>
          <w:b w:val="0"/>
          <w:bCs w:val="0"/>
          <w:sz w:val="22"/>
          <w:szCs w:val="22"/>
        </w:rPr>
        <w:t>Yolles, M., &amp; Fink, G. (2015a). A general theory of generic modelling and paradigm shifts: Part 1. Cybernetics and Systems, 46(8), 603–622.</w:t>
      </w:r>
    </w:p>
    <w:p w14:paraId="772F9AFA" w14:textId="77777777" w:rsidR="00A84D0B" w:rsidRPr="00A84D0B" w:rsidRDefault="00A84D0B" w:rsidP="00A84D0B">
      <w:pPr>
        <w:pStyle w:val="Heading1"/>
        <w:rPr>
          <w:b w:val="0"/>
          <w:bCs w:val="0"/>
          <w:sz w:val="22"/>
          <w:szCs w:val="22"/>
        </w:rPr>
      </w:pPr>
      <w:r>
        <w:rPr>
          <w:b w:val="0"/>
          <w:bCs w:val="0"/>
          <w:sz w:val="22"/>
          <w:szCs w:val="22"/>
        </w:rPr>
        <w:t xml:space="preserve">Yolles M.I, Frieden BR. (2021). Autopoiesis and Its Efficacy—A Metacybernetic View. </w:t>
      </w:r>
      <w:r>
        <w:rPr>
          <w:rStyle w:val="Emphasis"/>
          <w:b w:val="0"/>
          <w:bCs w:val="0"/>
          <w:sz w:val="22"/>
          <w:szCs w:val="22"/>
        </w:rPr>
        <w:t>Systems</w:t>
      </w:r>
      <w:r>
        <w:rPr>
          <w:b w:val="0"/>
          <w:bCs w:val="0"/>
          <w:sz w:val="22"/>
          <w:szCs w:val="22"/>
        </w:rPr>
        <w:t xml:space="preserve">. 2021; 9(4):75. </w:t>
      </w:r>
      <w:hyperlink r:id="rId14" w:history="1">
        <w:r>
          <w:rPr>
            <w:rStyle w:val="Hyperlink"/>
            <w:b w:val="0"/>
            <w:bCs w:val="0"/>
            <w:sz w:val="22"/>
            <w:szCs w:val="22"/>
          </w:rPr>
          <w:t>https://doi.org/10.3390/systems9040075</w:t>
        </w:r>
      </w:hyperlink>
      <w:r>
        <w:rPr>
          <w:b w:val="0"/>
          <w:bCs w:val="0"/>
          <w:sz w:val="22"/>
          <w:szCs w:val="22"/>
        </w:rPr>
        <w:t xml:space="preserve"> </w:t>
      </w:r>
    </w:p>
    <w:p w14:paraId="78596D71" w14:textId="77777777" w:rsidR="008D1038" w:rsidRPr="008D1038" w:rsidRDefault="008D1038" w:rsidP="008D1038">
      <w:pPr>
        <w:pStyle w:val="Heading1"/>
        <w:rPr>
          <w:b w:val="0"/>
          <w:bCs w:val="0"/>
          <w:sz w:val="22"/>
          <w:szCs w:val="22"/>
        </w:rPr>
      </w:pPr>
      <w:r>
        <w:rPr>
          <w:b w:val="0"/>
          <w:bCs w:val="0"/>
          <w:sz w:val="22"/>
          <w:szCs w:val="22"/>
        </w:rPr>
        <w:t>Yolles, M.I, &amp; Chiolerio, A. (2026). Quantum-informed cybernetics and informational amplitude fields. Applied Sciences, 16(2), 412–430.</w:t>
      </w:r>
    </w:p>
    <w:p w14:paraId="19C87560" w14:textId="77777777" w:rsidR="004A7465" w:rsidRDefault="004A7465" w:rsidP="008D1038">
      <w:pPr>
        <w:pStyle w:val="Heading1"/>
        <w:rPr>
          <w:sz w:val="22"/>
          <w:szCs w:val="22"/>
        </w:rPr>
      </w:pPr>
    </w:p>
    <w:p w14:paraId="3A4B97F3" w14:textId="77777777" w:rsidR="004A7465" w:rsidRDefault="004A7465">
      <w:pPr>
        <w:pStyle w:val="Heading1"/>
        <w:rPr>
          <w:sz w:val="22"/>
          <w:szCs w:val="22"/>
        </w:rPr>
      </w:pPr>
    </w:p>
    <w:p w14:paraId="01112856" w14:textId="77777777" w:rsidR="004D2D6C" w:rsidRPr="00C651E7" w:rsidRDefault="00000000">
      <w:pPr>
        <w:pStyle w:val="Heading1"/>
        <w:rPr>
          <w:sz w:val="22"/>
          <w:szCs w:val="22"/>
        </w:rPr>
      </w:pPr>
      <w:r>
        <w:rPr>
          <w:sz w:val="22"/>
          <w:szCs w:val="22"/>
        </w:rPr>
        <w:t>Appendix A.  Mathematical Notation</w:t>
      </w: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93"/>
        <w:gridCol w:w="4475"/>
        <w:gridCol w:w="1292"/>
      </w:tblGrid>
      <w:tr w:rsidR="004D2D6C" w:rsidRPr="00C651E7" w14:paraId="56947EB9" w14:textId="77777777">
        <w:trPr>
          <w:tblHeader/>
        </w:trPr>
        <w:tc>
          <w:tcPr>
            <w:tcW w:w="120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0A4523AB" w14:textId="77777777" w:rsidR="004D2D6C" w:rsidRPr="00C651E7" w:rsidRDefault="00000000">
            <w:pPr>
              <w:rPr>
                <w:sz w:val="22"/>
                <w:szCs w:val="22"/>
              </w:rPr>
            </w:pPr>
            <w:r>
              <w:rPr>
                <w:b/>
                <w:bCs/>
                <w:sz w:val="22"/>
                <w:szCs w:val="22"/>
              </w:rPr>
              <w:t>Symbol</w:t>
            </w:r>
          </w:p>
        </w:tc>
        <w:tc>
          <w:tcPr>
            <w:tcW w:w="456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197601FC" w14:textId="77777777" w:rsidR="004D2D6C" w:rsidRPr="00C651E7" w:rsidRDefault="00000000">
            <w:pPr>
              <w:rPr>
                <w:sz w:val="22"/>
                <w:szCs w:val="22"/>
              </w:rPr>
            </w:pPr>
            <w:r>
              <w:rPr>
                <w:b/>
                <w:bCs/>
                <w:sz w:val="22"/>
                <w:szCs w:val="22"/>
              </w:rPr>
              <w:t>Meaning</w:t>
            </w:r>
          </w:p>
        </w:tc>
        <w:tc>
          <w:tcPr>
            <w:tcW w:w="1200" w:type="dxa"/>
            <w:tcBorders>
              <w:top w:val="single" w:sz="12" w:space="0" w:color="000000"/>
              <w:left w:val="single" w:sz="4" w:space="0" w:color="000000"/>
              <w:bottom w:val="single" w:sz="12" w:space="0" w:color="000000"/>
              <w:right w:val="single" w:sz="4" w:space="0" w:color="000000"/>
            </w:tcBorders>
            <w:tcMar>
              <w:top w:w="80" w:type="dxa"/>
              <w:left w:w="120" w:type="dxa"/>
              <w:bottom w:w="80" w:type="dxa"/>
              <w:right w:w="120" w:type="dxa"/>
            </w:tcMar>
          </w:tcPr>
          <w:p w14:paraId="5F36DBA0" w14:textId="77777777" w:rsidR="004D2D6C" w:rsidRPr="00C651E7" w:rsidRDefault="00000000">
            <w:pPr>
              <w:rPr>
                <w:sz w:val="22"/>
                <w:szCs w:val="22"/>
              </w:rPr>
            </w:pPr>
            <w:r>
              <w:rPr>
                <w:b/>
                <w:bCs/>
                <w:sz w:val="22"/>
                <w:szCs w:val="22"/>
              </w:rPr>
              <w:t>Introduced</w:t>
            </w:r>
          </w:p>
        </w:tc>
      </w:tr>
      <w:tr w:rsidR="004D2D6C" w:rsidRPr="00C651E7" w14:paraId="5BCC0576"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CE6F74" w14:textId="77777777" w:rsidR="004D2D6C" w:rsidRPr="00C651E7" w:rsidRDefault="00000000">
            <w:pPr>
              <w:rPr>
                <w:sz w:val="22"/>
                <w:szCs w:val="22"/>
              </w:rPr>
            </w:pPr>
            <w:r>
              <w:rPr>
                <w:sz w:val="22"/>
                <w:szCs w:val="22"/>
              </w:rPr>
              <w:t>W</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F966C5D" w14:textId="77777777" w:rsidR="004D2D6C" w:rsidRPr="00C651E7" w:rsidRDefault="00000000">
            <w:pPr>
              <w:rPr>
                <w:sz w:val="22"/>
                <w:szCs w:val="22"/>
              </w:rPr>
            </w:pPr>
            <w:r>
              <w:rPr>
                <w:sz w:val="22"/>
                <w:szCs w:val="22"/>
              </w:rPr>
              <w:t>Capacity functional on the state space X</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C8009A" w14:textId="77777777" w:rsidR="004D2D6C" w:rsidRPr="00C651E7" w:rsidRDefault="00000000">
            <w:pPr>
              <w:rPr>
                <w:sz w:val="22"/>
                <w:szCs w:val="22"/>
              </w:rPr>
            </w:pPr>
            <w:r>
              <w:rPr>
                <w:sz w:val="22"/>
                <w:szCs w:val="22"/>
              </w:rPr>
              <w:t>§2</w:t>
            </w:r>
          </w:p>
        </w:tc>
      </w:tr>
      <w:tr w:rsidR="004D2D6C" w:rsidRPr="00C651E7" w14:paraId="42A72766"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FA60D3" w14:textId="77777777" w:rsidR="004D2D6C" w:rsidRPr="00C651E7" w:rsidRDefault="00000000">
            <w:pPr>
              <w:rPr>
                <w:sz w:val="22"/>
                <w:szCs w:val="22"/>
              </w:rPr>
            </w:pPr>
            <w:r>
              <w:rPr>
                <w:sz w:val="22"/>
                <w:szCs w:val="22"/>
              </w:rPr>
              <w:lastRenderedPageBreak/>
              <w:t>S(x)</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C615A23" w14:textId="77777777" w:rsidR="004D2D6C" w:rsidRPr="00C651E7" w:rsidRDefault="00000000">
            <w:pPr>
              <w:rPr>
                <w:sz w:val="22"/>
                <w:szCs w:val="22"/>
              </w:rPr>
            </w:pPr>
            <w:r>
              <w:rPr>
                <w:sz w:val="22"/>
                <w:szCs w:val="22"/>
              </w:rPr>
              <w:t>Defect functional = ‖grad⁇ W(x)‖²⁇</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DCBE899" w14:textId="77777777" w:rsidR="004D2D6C" w:rsidRPr="00C651E7" w:rsidRDefault="00000000">
            <w:pPr>
              <w:rPr>
                <w:sz w:val="22"/>
                <w:szCs w:val="22"/>
              </w:rPr>
            </w:pPr>
            <w:r>
              <w:rPr>
                <w:sz w:val="22"/>
                <w:szCs w:val="22"/>
              </w:rPr>
              <w:t>§2</w:t>
            </w:r>
          </w:p>
        </w:tc>
      </w:tr>
      <w:tr w:rsidR="004D2D6C" w:rsidRPr="00C651E7" w14:paraId="51C5E03A"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9F4A99" w14:textId="77777777" w:rsidR="004D2D6C" w:rsidRPr="00C651E7" w:rsidRDefault="00000000">
            <w:pPr>
              <w:rPr>
                <w:sz w:val="22"/>
                <w:szCs w:val="22"/>
              </w:rPr>
            </w:pPr>
            <w:r>
              <w:rPr>
                <w:sz w:val="22"/>
                <w:szCs w:val="22"/>
              </w:rPr>
              <w:t>x*</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FDA18D" w14:textId="77777777" w:rsidR="004D2D6C" w:rsidRPr="00C651E7" w:rsidRDefault="00000000">
            <w:pPr>
              <w:rPr>
                <w:sz w:val="22"/>
                <w:szCs w:val="22"/>
              </w:rPr>
            </w:pPr>
            <w:r>
              <w:rPr>
                <w:sz w:val="22"/>
                <w:szCs w:val="22"/>
              </w:rPr>
              <w:t>Saturation state (critical point of W)</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2B937B" w14:textId="77777777" w:rsidR="004D2D6C" w:rsidRPr="00C651E7" w:rsidRDefault="00000000">
            <w:pPr>
              <w:rPr>
                <w:sz w:val="22"/>
                <w:szCs w:val="22"/>
              </w:rPr>
            </w:pPr>
            <w:r>
              <w:rPr>
                <w:sz w:val="22"/>
                <w:szCs w:val="22"/>
              </w:rPr>
              <w:t>§2</w:t>
            </w:r>
          </w:p>
        </w:tc>
      </w:tr>
      <w:tr w:rsidR="004D2D6C" w:rsidRPr="00C651E7" w14:paraId="07C6AB26"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37E55E" w14:textId="77777777" w:rsidR="004D2D6C" w:rsidRPr="00C651E7" w:rsidRDefault="00000000">
            <w:pPr>
              <w:rPr>
                <w:sz w:val="22"/>
                <w:szCs w:val="22"/>
              </w:rPr>
            </w:pPr>
            <w:r>
              <w:rPr>
                <w:sz w:val="22"/>
                <w:szCs w:val="22"/>
              </w:rPr>
              <w:t>Kₗ</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6707E4" w14:textId="77777777" w:rsidR="004D2D6C" w:rsidRPr="00C651E7" w:rsidRDefault="00000000">
            <w:pPr>
              <w:rPr>
                <w:sz w:val="22"/>
                <w:szCs w:val="22"/>
              </w:rPr>
            </w:pPr>
            <w:r>
              <w:rPr>
                <w:sz w:val="22"/>
                <w:szCs w:val="22"/>
              </w:rPr>
              <w:t>Łojasiewicz constant in the gradient inequality</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A666E9" w14:textId="77777777" w:rsidR="004D2D6C" w:rsidRPr="00C651E7" w:rsidRDefault="00000000">
            <w:pPr>
              <w:rPr>
                <w:sz w:val="22"/>
                <w:szCs w:val="22"/>
              </w:rPr>
            </w:pPr>
            <w:r>
              <w:rPr>
                <w:sz w:val="22"/>
                <w:szCs w:val="22"/>
              </w:rPr>
              <w:t>§2</w:t>
            </w:r>
          </w:p>
        </w:tc>
      </w:tr>
      <w:tr w:rsidR="004D2D6C" w:rsidRPr="00C651E7" w14:paraId="0DFC5D36"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A0949D" w14:textId="77777777" w:rsidR="004D2D6C" w:rsidRPr="00C651E7" w:rsidRDefault="00000000">
            <w:pPr>
              <w:rPr>
                <w:sz w:val="22"/>
                <w:szCs w:val="22"/>
              </w:rPr>
            </w:pPr>
            <w:r>
              <w:rPr>
                <w:sz w:val="22"/>
                <w:szCs w:val="22"/>
              </w:rPr>
              <w:t>α</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A7233A3" w14:textId="77777777" w:rsidR="004D2D6C" w:rsidRPr="00C651E7" w:rsidRDefault="00000000">
            <w:pPr>
              <w:rPr>
                <w:sz w:val="22"/>
                <w:szCs w:val="22"/>
              </w:rPr>
            </w:pPr>
            <w:r>
              <w:rPr>
                <w:sz w:val="22"/>
                <w:szCs w:val="22"/>
              </w:rPr>
              <w:t xml:space="preserve">Łojasiewicz exponent; α </w:t>
            </w:r>
            <w:r>
              <w:rPr>
                <w:rFonts w:ascii="Cambria Math" w:hAnsi="Cambria Math" w:cs="Cambria Math"/>
                <w:sz w:val="22"/>
                <w:szCs w:val="22"/>
              </w:rPr>
              <w:t>∈</w:t>
            </w:r>
            <w:r>
              <w:rPr>
                <w:sz w:val="22"/>
                <w:szCs w:val="22"/>
              </w:rPr>
              <w:t xml:space="preserve"> (0, 1/2]</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A33BD92" w14:textId="77777777" w:rsidR="004D2D6C" w:rsidRPr="00C651E7" w:rsidRDefault="00000000">
            <w:pPr>
              <w:rPr>
                <w:sz w:val="22"/>
                <w:szCs w:val="22"/>
              </w:rPr>
            </w:pPr>
            <w:r>
              <w:rPr>
                <w:sz w:val="22"/>
                <w:szCs w:val="22"/>
              </w:rPr>
              <w:t>§2</w:t>
            </w:r>
          </w:p>
        </w:tc>
      </w:tr>
      <w:tr w:rsidR="004D2D6C" w:rsidRPr="00C651E7" w14:paraId="4E46808C"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90ABEC" w14:textId="77777777" w:rsidR="004D2D6C" w:rsidRPr="00C651E7" w:rsidRDefault="00000000">
            <w:pPr>
              <w:rPr>
                <w:sz w:val="22"/>
                <w:szCs w:val="22"/>
              </w:rPr>
            </w:pPr>
            <w:r>
              <w:rPr>
                <w:sz w:val="22"/>
                <w:szCs w:val="22"/>
              </w:rPr>
              <w:t>ℳ</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204544" w14:textId="77777777" w:rsidR="004D2D6C" w:rsidRPr="00C651E7" w:rsidRDefault="00000000">
            <w:pPr>
              <w:rPr>
                <w:sz w:val="22"/>
                <w:szCs w:val="22"/>
              </w:rPr>
            </w:pPr>
            <w:r>
              <w:rPr>
                <w:sz w:val="22"/>
                <w:szCs w:val="22"/>
              </w:rPr>
              <w:t>Information manifold (second-countable Hausdorff)</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30E14F4" w14:textId="77777777" w:rsidR="004D2D6C" w:rsidRPr="00C651E7" w:rsidRDefault="00000000">
            <w:pPr>
              <w:rPr>
                <w:sz w:val="22"/>
                <w:szCs w:val="22"/>
              </w:rPr>
            </w:pPr>
            <w:r>
              <w:rPr>
                <w:sz w:val="22"/>
                <w:szCs w:val="22"/>
              </w:rPr>
              <w:t>§3.1</w:t>
            </w:r>
          </w:p>
        </w:tc>
      </w:tr>
      <w:tr w:rsidR="004D2D6C" w:rsidRPr="00C651E7" w14:paraId="6C699C5A"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1BE65A3" w14:textId="77777777" w:rsidR="004D2D6C" w:rsidRPr="00C651E7" w:rsidRDefault="00000000">
            <w:pPr>
              <w:rPr>
                <w:sz w:val="22"/>
                <w:szCs w:val="22"/>
              </w:rPr>
            </w:pPr>
            <w:r>
              <w:rPr>
                <w:sz w:val="22"/>
                <w:szCs w:val="22"/>
              </w:rPr>
              <w:t>I</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4DE27B" w14:textId="77777777" w:rsidR="004D2D6C" w:rsidRPr="00C651E7" w:rsidRDefault="00000000">
            <w:pPr>
              <w:rPr>
                <w:sz w:val="22"/>
                <w:szCs w:val="22"/>
              </w:rPr>
            </w:pPr>
            <w:r>
              <w:rPr>
                <w:sz w:val="22"/>
                <w:szCs w:val="22"/>
              </w:rPr>
              <w:t>Operative field I (upright) — ontological field label in architectural contexts (J→I→K→C). Fisher information density I (italic) — mathematical scalar proxy; I(x) = ∫[∂ ln p/∂x]² p dx. In integral and functional expressions I(x) is italic (scalar sense). Per FIFT Schema v16 disambiguation: I (italic) ≠ I (upright, field) ≠ ι (informational inertia).</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F62802" w14:textId="77777777" w:rsidR="004D2D6C" w:rsidRPr="00C651E7" w:rsidRDefault="00000000">
            <w:pPr>
              <w:rPr>
                <w:sz w:val="22"/>
                <w:szCs w:val="22"/>
              </w:rPr>
            </w:pPr>
            <w:r>
              <w:rPr>
                <w:sz w:val="22"/>
                <w:szCs w:val="22"/>
              </w:rPr>
              <w:t>§3.1</w:t>
            </w:r>
          </w:p>
        </w:tc>
      </w:tr>
      <w:tr w:rsidR="004D2D6C" w:rsidRPr="00C651E7" w14:paraId="08082B61"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A00B27" w14:textId="77777777" w:rsidR="004D2D6C" w:rsidRPr="00C651E7" w:rsidRDefault="00000000">
            <w:pPr>
              <w:rPr>
                <w:sz w:val="22"/>
                <w:szCs w:val="22"/>
              </w:rPr>
            </w:pPr>
            <w:r>
              <w:rPr>
                <w:sz w:val="22"/>
                <w:szCs w:val="22"/>
              </w:rPr>
              <w:t>ġadm</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D8A4B8" w14:textId="77777777" w:rsidR="004D2D6C" w:rsidRPr="00C651E7" w:rsidRDefault="00000000">
            <w:pPr>
              <w:rPr>
                <w:sz w:val="22"/>
                <w:szCs w:val="22"/>
              </w:rPr>
            </w:pPr>
            <w:r>
              <w:rPr>
                <w:sz w:val="22"/>
                <w:szCs w:val="22"/>
              </w:rPr>
              <w:t>Admissible geometry class (Riemannian metrics on ℳ)</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A34009D" w14:textId="77777777" w:rsidR="004D2D6C" w:rsidRPr="00C651E7" w:rsidRDefault="00000000">
            <w:pPr>
              <w:rPr>
                <w:sz w:val="22"/>
                <w:szCs w:val="22"/>
              </w:rPr>
            </w:pPr>
            <w:r>
              <w:rPr>
                <w:sz w:val="22"/>
                <w:szCs w:val="22"/>
              </w:rPr>
              <w:t>§3.1</w:t>
            </w:r>
          </w:p>
        </w:tc>
      </w:tr>
      <w:tr w:rsidR="004D2D6C" w:rsidRPr="00C651E7" w14:paraId="1D8CD81D"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74DF63" w14:textId="77777777" w:rsidR="004D2D6C" w:rsidRPr="00C651E7" w:rsidRDefault="00000000">
            <w:pPr>
              <w:rPr>
                <w:sz w:val="22"/>
                <w:szCs w:val="22"/>
              </w:rPr>
            </w:pPr>
            <w:r>
              <w:rPr>
                <w:sz w:val="22"/>
                <w:szCs w:val="22"/>
              </w:rPr>
              <w:t>g, g*</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AAAA6D0" w14:textId="77777777" w:rsidR="004D2D6C" w:rsidRPr="00C651E7" w:rsidRDefault="00000000">
            <w:pPr>
              <w:rPr>
                <w:sz w:val="22"/>
                <w:szCs w:val="22"/>
              </w:rPr>
            </w:pPr>
            <w:r>
              <w:rPr>
                <w:sz w:val="22"/>
                <w:szCs w:val="22"/>
              </w:rPr>
              <w:t>Riemannian metric; energy-minimising metric</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CE6F34" w14:textId="77777777" w:rsidR="004D2D6C" w:rsidRPr="00C651E7" w:rsidRDefault="00000000">
            <w:pPr>
              <w:rPr>
                <w:sz w:val="22"/>
                <w:szCs w:val="22"/>
              </w:rPr>
            </w:pPr>
            <w:r>
              <w:rPr>
                <w:sz w:val="22"/>
                <w:szCs w:val="22"/>
              </w:rPr>
              <w:t>§3.1</w:t>
            </w:r>
          </w:p>
        </w:tc>
      </w:tr>
      <w:tr w:rsidR="004D2D6C" w:rsidRPr="00C651E7" w14:paraId="67D3C5A6"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4B892E" w14:textId="77777777" w:rsidR="004D2D6C" w:rsidRPr="00C651E7" w:rsidRDefault="00000000">
            <w:pPr>
              <w:rPr>
                <w:sz w:val="22"/>
                <w:szCs w:val="22"/>
              </w:rPr>
            </w:pPr>
            <w:r>
              <w:rPr>
                <w:sz w:val="22"/>
                <w:szCs w:val="22"/>
              </w:rPr>
              <w:t>cg(x)</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DA8FD6" w14:textId="77777777" w:rsidR="004D2D6C" w:rsidRPr="00C651E7" w:rsidRDefault="00000000">
            <w:pPr>
              <w:rPr>
                <w:sz w:val="22"/>
                <w:szCs w:val="22"/>
              </w:rPr>
            </w:pPr>
            <w:r>
              <w:rPr>
                <w:sz w:val="22"/>
                <w:szCs w:val="22"/>
              </w:rPr>
              <w:t>Pointwise coercivity = ‖</w:t>
            </w:r>
            <w:r>
              <w:rPr>
                <w:rFonts w:ascii="Cambria Math" w:hAnsi="Cambria Math" w:cs="Cambria Math"/>
                <w:sz w:val="22"/>
                <w:szCs w:val="22"/>
              </w:rPr>
              <w:t>∇</w:t>
            </w:r>
            <w:r>
              <w:rPr>
                <w:sz w:val="22"/>
                <w:szCs w:val="22"/>
              </w:rPr>
              <w:t>g I(x)‖g</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CCF4B0" w14:textId="77777777" w:rsidR="004D2D6C" w:rsidRPr="00C651E7" w:rsidRDefault="00000000">
            <w:pPr>
              <w:rPr>
                <w:sz w:val="22"/>
                <w:szCs w:val="22"/>
              </w:rPr>
            </w:pPr>
            <w:r>
              <w:rPr>
                <w:sz w:val="22"/>
                <w:szCs w:val="22"/>
              </w:rPr>
              <w:t>§3.1</w:t>
            </w:r>
          </w:p>
        </w:tc>
      </w:tr>
      <w:tr w:rsidR="004D2D6C" w:rsidRPr="00C651E7" w14:paraId="10988A80"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52569C" w14:textId="77777777" w:rsidR="004D2D6C" w:rsidRPr="00C651E7" w:rsidRDefault="00000000">
            <w:pPr>
              <w:rPr>
                <w:sz w:val="22"/>
                <w:szCs w:val="22"/>
              </w:rPr>
            </w:pPr>
            <w:r>
              <w:rPr>
                <w:sz w:val="22"/>
                <w:szCs w:val="22"/>
              </w:rPr>
              <w:t>c</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D16853" w14:textId="77777777" w:rsidR="004D2D6C" w:rsidRPr="00C651E7" w:rsidRDefault="00000000">
            <w:pPr>
              <w:rPr>
                <w:sz w:val="22"/>
                <w:szCs w:val="22"/>
              </w:rPr>
            </w:pPr>
            <w:r>
              <w:rPr>
                <w:sz w:val="22"/>
                <w:szCs w:val="22"/>
              </w:rPr>
              <w:t>Global coercivity constant = supg ess supx cg(x)</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B9C2732" w14:textId="77777777" w:rsidR="004D2D6C" w:rsidRPr="00C651E7" w:rsidRDefault="00000000">
            <w:pPr>
              <w:rPr>
                <w:sz w:val="22"/>
                <w:szCs w:val="22"/>
              </w:rPr>
            </w:pPr>
            <w:r>
              <w:rPr>
                <w:sz w:val="22"/>
                <w:szCs w:val="22"/>
              </w:rPr>
              <w:t>§3.1</w:t>
            </w:r>
          </w:p>
        </w:tc>
      </w:tr>
      <w:tr w:rsidR="004D2D6C" w:rsidRPr="00C651E7" w14:paraId="1900CA6B"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06021A" w14:textId="77777777" w:rsidR="004D2D6C" w:rsidRPr="00C651E7" w:rsidRDefault="00000000">
            <w:pPr>
              <w:rPr>
                <w:sz w:val="22"/>
                <w:szCs w:val="22"/>
              </w:rPr>
            </w:pPr>
            <w:r>
              <w:rPr>
                <w:sz w:val="22"/>
                <w:szCs w:val="22"/>
              </w:rPr>
              <w:t>E</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8B82BA" w14:textId="77777777" w:rsidR="004D2D6C" w:rsidRPr="00C651E7" w:rsidRDefault="00000000">
            <w:pPr>
              <w:rPr>
                <w:sz w:val="22"/>
                <w:szCs w:val="22"/>
              </w:rPr>
            </w:pPr>
            <w:r>
              <w:rPr>
                <w:sz w:val="22"/>
                <w:szCs w:val="22"/>
              </w:rPr>
              <w:t>Admissibility energy = infg ∫ I ‖</w:t>
            </w:r>
            <w:r>
              <w:rPr>
                <w:rFonts w:ascii="Cambria Math" w:hAnsi="Cambria Math" w:cs="Cambria Math"/>
                <w:sz w:val="22"/>
                <w:szCs w:val="22"/>
              </w:rPr>
              <w:t>∇</w:t>
            </w:r>
            <w:r>
              <w:rPr>
                <w:sz w:val="22"/>
                <w:szCs w:val="22"/>
              </w:rPr>
              <w:t>g I‖² dμg</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F22E6E6" w14:textId="77777777" w:rsidR="004D2D6C" w:rsidRPr="00C651E7" w:rsidRDefault="00000000">
            <w:pPr>
              <w:rPr>
                <w:sz w:val="22"/>
                <w:szCs w:val="22"/>
              </w:rPr>
            </w:pPr>
            <w:r>
              <w:rPr>
                <w:sz w:val="22"/>
                <w:szCs w:val="22"/>
              </w:rPr>
              <w:t>§3.1</w:t>
            </w:r>
          </w:p>
        </w:tc>
      </w:tr>
      <w:tr w:rsidR="004D2D6C" w:rsidRPr="00C651E7" w14:paraId="3B20C3D6"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E621B93" w14:textId="77777777" w:rsidR="004D2D6C" w:rsidRPr="00C651E7" w:rsidRDefault="00000000">
            <w:pPr>
              <w:rPr>
                <w:sz w:val="22"/>
                <w:szCs w:val="22"/>
              </w:rPr>
            </w:pPr>
            <w:r>
              <w:rPr>
                <w:sz w:val="22"/>
                <w:szCs w:val="22"/>
              </w:rPr>
              <w:t>ℱ</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4C8B2CA" w14:textId="77777777" w:rsidR="004D2D6C" w:rsidRPr="00C651E7" w:rsidRDefault="00000000">
            <w:pPr>
              <w:rPr>
                <w:sz w:val="22"/>
                <w:szCs w:val="22"/>
              </w:rPr>
            </w:pPr>
            <w:r>
              <w:rPr>
                <w:sz w:val="22"/>
                <w:szCs w:val="22"/>
              </w:rPr>
              <w:t>Information mass = ∫ I dμg*</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7FC7CC" w14:textId="77777777" w:rsidR="004D2D6C" w:rsidRPr="00C651E7" w:rsidRDefault="00000000">
            <w:pPr>
              <w:rPr>
                <w:sz w:val="22"/>
                <w:szCs w:val="22"/>
              </w:rPr>
            </w:pPr>
            <w:r>
              <w:rPr>
                <w:sz w:val="22"/>
                <w:szCs w:val="22"/>
              </w:rPr>
              <w:t>§3.1</w:t>
            </w:r>
          </w:p>
        </w:tc>
      </w:tr>
      <w:tr w:rsidR="004D2D6C" w:rsidRPr="00C651E7" w14:paraId="2399036D"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305C3B4" w14:textId="77777777" w:rsidR="004D2D6C" w:rsidRPr="00C651E7" w:rsidRDefault="00000000">
            <w:pPr>
              <w:rPr>
                <w:sz w:val="22"/>
                <w:szCs w:val="22"/>
              </w:rPr>
            </w:pPr>
            <w:r>
              <w:rPr>
                <w:sz w:val="22"/>
                <w:szCs w:val="22"/>
              </w:rPr>
              <w:t>A*</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31BDDC" w14:textId="77777777" w:rsidR="004D2D6C" w:rsidRPr="00C651E7" w:rsidRDefault="00000000">
            <w:pPr>
              <w:rPr>
                <w:sz w:val="22"/>
                <w:szCs w:val="22"/>
              </w:rPr>
            </w:pPr>
            <w:r>
              <w:rPr>
                <w:sz w:val="22"/>
                <w:szCs w:val="22"/>
              </w:rPr>
              <w:t>Saturation set (‖</w:t>
            </w:r>
            <w:r>
              <w:rPr>
                <w:rFonts w:ascii="Cambria Math" w:hAnsi="Cambria Math" w:cs="Cambria Math"/>
                <w:sz w:val="22"/>
                <w:szCs w:val="22"/>
              </w:rPr>
              <w:t>∇</w:t>
            </w:r>
            <w:r>
              <w:rPr>
                <w:sz w:val="22"/>
                <w:szCs w:val="22"/>
              </w:rPr>
              <w:t>I‖ = c and I = Ī a.e. on A*)</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24D894B" w14:textId="77777777" w:rsidR="004D2D6C" w:rsidRPr="00C651E7" w:rsidRDefault="00000000">
            <w:pPr>
              <w:rPr>
                <w:sz w:val="22"/>
                <w:szCs w:val="22"/>
              </w:rPr>
            </w:pPr>
            <w:r>
              <w:rPr>
                <w:sz w:val="22"/>
                <w:szCs w:val="22"/>
              </w:rPr>
              <w:t>§3.2</w:t>
            </w:r>
          </w:p>
        </w:tc>
      </w:tr>
      <w:tr w:rsidR="004D2D6C" w:rsidRPr="00C651E7" w14:paraId="66468374"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2525C5" w14:textId="77777777" w:rsidR="004D2D6C" w:rsidRPr="00C651E7" w:rsidRDefault="00000000">
            <w:pPr>
              <w:rPr>
                <w:sz w:val="22"/>
                <w:szCs w:val="22"/>
              </w:rPr>
            </w:pPr>
            <w:r>
              <w:rPr>
                <w:sz w:val="22"/>
                <w:szCs w:val="22"/>
              </w:rPr>
              <w:t>Ī</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C26C0BE" w14:textId="77777777" w:rsidR="004D2D6C" w:rsidRPr="00C651E7" w:rsidRDefault="00000000">
            <w:pPr>
              <w:rPr>
                <w:sz w:val="22"/>
                <w:szCs w:val="22"/>
              </w:rPr>
            </w:pPr>
            <w:r>
              <w:rPr>
                <w:sz w:val="22"/>
                <w:szCs w:val="22"/>
              </w:rPr>
              <w:t>Constant value of I on the saturation set A*</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BD327C" w14:textId="77777777" w:rsidR="004D2D6C" w:rsidRPr="00C651E7" w:rsidRDefault="00000000">
            <w:pPr>
              <w:rPr>
                <w:sz w:val="22"/>
                <w:szCs w:val="22"/>
              </w:rPr>
            </w:pPr>
            <w:r>
              <w:rPr>
                <w:sz w:val="22"/>
                <w:szCs w:val="22"/>
              </w:rPr>
              <w:t>§3.2</w:t>
            </w:r>
          </w:p>
        </w:tc>
      </w:tr>
      <w:tr w:rsidR="004D2D6C" w:rsidRPr="00C651E7" w14:paraId="75A9D97D"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2DF320" w14:textId="77777777" w:rsidR="004D2D6C" w:rsidRPr="00C651E7" w:rsidRDefault="00000000">
            <w:pPr>
              <w:rPr>
                <w:sz w:val="22"/>
                <w:szCs w:val="22"/>
              </w:rPr>
            </w:pPr>
            <w:r>
              <w:rPr>
                <w:sz w:val="22"/>
                <w:szCs w:val="22"/>
              </w:rPr>
              <w:t>Δ</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D4E161" w14:textId="77777777" w:rsidR="004D2D6C" w:rsidRPr="00C651E7" w:rsidRDefault="00000000">
            <w:pPr>
              <w:rPr>
                <w:sz w:val="22"/>
                <w:szCs w:val="22"/>
              </w:rPr>
            </w:pPr>
            <w:r>
              <w:rPr>
                <w:sz w:val="22"/>
                <w:szCs w:val="22"/>
              </w:rPr>
              <w:t>Admissibility gap = ℱc² − E ≥ 0</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4D6F60A" w14:textId="77777777" w:rsidR="004D2D6C" w:rsidRPr="00C651E7" w:rsidRDefault="00000000">
            <w:pPr>
              <w:rPr>
                <w:sz w:val="22"/>
                <w:szCs w:val="22"/>
              </w:rPr>
            </w:pPr>
            <w:r>
              <w:rPr>
                <w:sz w:val="22"/>
                <w:szCs w:val="22"/>
              </w:rPr>
              <w:t>§3.2</w:t>
            </w:r>
          </w:p>
        </w:tc>
      </w:tr>
      <w:tr w:rsidR="004D2D6C" w:rsidRPr="00C651E7" w14:paraId="2F25731A"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0973FE" w14:textId="77777777" w:rsidR="004D2D6C" w:rsidRPr="00C651E7" w:rsidRDefault="00000000">
            <w:pPr>
              <w:rPr>
                <w:sz w:val="22"/>
                <w:szCs w:val="22"/>
              </w:rPr>
            </w:pPr>
            <w:r>
              <w:rPr>
                <w:sz w:val="22"/>
                <w:szCs w:val="22"/>
              </w:rPr>
              <w:t>gij</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5B39A2F" w14:textId="77777777" w:rsidR="004D2D6C" w:rsidRPr="00C651E7" w:rsidRDefault="00000000">
            <w:pPr>
              <w:rPr>
                <w:sz w:val="22"/>
                <w:szCs w:val="22"/>
              </w:rPr>
            </w:pPr>
            <w:r>
              <w:rPr>
                <w:sz w:val="22"/>
                <w:szCs w:val="22"/>
              </w:rPr>
              <w:t>Fisher–Rao metric = ∫ [∂i log ρ][∂j log ρ] ρ dx</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62EDEC7" w14:textId="77777777" w:rsidR="004D2D6C" w:rsidRPr="00C651E7" w:rsidRDefault="00000000">
            <w:pPr>
              <w:rPr>
                <w:sz w:val="22"/>
                <w:szCs w:val="22"/>
              </w:rPr>
            </w:pPr>
            <w:r>
              <w:rPr>
                <w:sz w:val="22"/>
                <w:szCs w:val="22"/>
              </w:rPr>
              <w:t>§4.1</w:t>
            </w:r>
          </w:p>
        </w:tc>
      </w:tr>
      <w:tr w:rsidR="004D2D6C" w:rsidRPr="00C651E7" w14:paraId="0B8A34D1"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ABD7B1F" w14:textId="77777777" w:rsidR="004D2D6C" w:rsidRPr="00C651E7" w:rsidRDefault="00000000">
            <w:pPr>
              <w:rPr>
                <w:sz w:val="22"/>
                <w:szCs w:val="22"/>
              </w:rPr>
            </w:pPr>
            <w:r>
              <w:rPr>
                <w:sz w:val="22"/>
                <w:szCs w:val="22"/>
              </w:rPr>
              <w:t>Θ</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292376" w14:textId="77777777" w:rsidR="004D2D6C" w:rsidRPr="00C651E7" w:rsidRDefault="00000000">
            <w:pPr>
              <w:rPr>
                <w:sz w:val="22"/>
                <w:szCs w:val="22"/>
              </w:rPr>
            </w:pPr>
            <w:r>
              <w:rPr>
                <w:sz w:val="22"/>
                <w:szCs w:val="22"/>
              </w:rPr>
              <w:t>Parameter space of the statistical manifold</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423F7B" w14:textId="77777777" w:rsidR="004D2D6C" w:rsidRPr="00C651E7" w:rsidRDefault="00000000">
            <w:pPr>
              <w:rPr>
                <w:sz w:val="22"/>
                <w:szCs w:val="22"/>
              </w:rPr>
            </w:pPr>
            <w:r>
              <w:rPr>
                <w:sz w:val="22"/>
                <w:szCs w:val="22"/>
              </w:rPr>
              <w:t>§4.1</w:t>
            </w:r>
          </w:p>
        </w:tc>
      </w:tr>
      <w:tr w:rsidR="004D2D6C" w:rsidRPr="00C651E7" w14:paraId="1D4D12DB"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018F551" w14:textId="77777777" w:rsidR="004D2D6C" w:rsidRPr="00C651E7" w:rsidRDefault="00000000">
            <w:pPr>
              <w:rPr>
                <w:sz w:val="22"/>
                <w:szCs w:val="22"/>
              </w:rPr>
            </w:pPr>
            <w:r>
              <w:rPr>
                <w:sz w:val="22"/>
                <w:szCs w:val="22"/>
              </w:rPr>
              <w:t>ρ(·|θ)</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87F186" w14:textId="77777777" w:rsidR="004D2D6C" w:rsidRPr="00C651E7" w:rsidRDefault="00000000">
            <w:pPr>
              <w:rPr>
                <w:sz w:val="22"/>
                <w:szCs w:val="22"/>
              </w:rPr>
            </w:pPr>
            <w:r>
              <w:rPr>
                <w:sz w:val="22"/>
                <w:szCs w:val="22"/>
              </w:rPr>
              <w:t xml:space="preserve">Probability distribution parametrised by θ </w:t>
            </w:r>
            <w:r>
              <w:rPr>
                <w:rFonts w:ascii="Cambria Math" w:hAnsi="Cambria Math" w:cs="Cambria Math"/>
                <w:sz w:val="22"/>
                <w:szCs w:val="22"/>
              </w:rPr>
              <w:t>∈</w:t>
            </w:r>
            <w:r>
              <w:rPr>
                <w:sz w:val="22"/>
                <w:szCs w:val="22"/>
              </w:rPr>
              <w:t xml:space="preserve"> Θ</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499E5C" w14:textId="77777777" w:rsidR="004D2D6C" w:rsidRPr="00C651E7" w:rsidRDefault="00000000">
            <w:pPr>
              <w:rPr>
                <w:sz w:val="22"/>
                <w:szCs w:val="22"/>
              </w:rPr>
            </w:pPr>
            <w:r>
              <w:rPr>
                <w:sz w:val="22"/>
                <w:szCs w:val="22"/>
              </w:rPr>
              <w:t>§4.1</w:t>
            </w:r>
          </w:p>
        </w:tc>
      </w:tr>
      <w:tr w:rsidR="004D2D6C" w:rsidRPr="00C651E7" w14:paraId="6D3E82A0"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0D91076" w14:textId="77777777" w:rsidR="004D2D6C" w:rsidRPr="00C651E7" w:rsidRDefault="00000000">
            <w:pPr>
              <w:rPr>
                <w:sz w:val="22"/>
                <w:szCs w:val="22"/>
              </w:rPr>
            </w:pPr>
            <w:r>
              <w:rPr>
                <w:sz w:val="22"/>
                <w:szCs w:val="22"/>
              </w:rPr>
              <w:t>ψ</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593B7D" w14:textId="77777777" w:rsidR="004D2D6C" w:rsidRPr="00C651E7" w:rsidRDefault="00000000">
            <w:pPr>
              <w:rPr>
                <w:sz w:val="22"/>
                <w:szCs w:val="22"/>
              </w:rPr>
            </w:pPr>
            <w:r>
              <w:rPr>
                <w:sz w:val="22"/>
                <w:szCs w:val="22"/>
              </w:rPr>
              <w:t>Convex potential (negative log-normaliser)</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44BDBDE" w14:textId="77777777" w:rsidR="004D2D6C" w:rsidRPr="00C651E7" w:rsidRDefault="00000000">
            <w:pPr>
              <w:rPr>
                <w:sz w:val="22"/>
                <w:szCs w:val="22"/>
              </w:rPr>
            </w:pPr>
            <w:r>
              <w:rPr>
                <w:sz w:val="22"/>
                <w:szCs w:val="22"/>
              </w:rPr>
              <w:t>§4.1</w:t>
            </w:r>
          </w:p>
        </w:tc>
      </w:tr>
      <w:tr w:rsidR="004D2D6C" w:rsidRPr="00C651E7" w14:paraId="3B98D977"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26300F" w14:textId="77777777" w:rsidR="004D2D6C" w:rsidRPr="00C651E7" w:rsidRDefault="00000000">
            <w:pPr>
              <w:rPr>
                <w:sz w:val="22"/>
                <w:szCs w:val="22"/>
              </w:rPr>
            </w:pPr>
            <w:r>
              <w:rPr>
                <w:sz w:val="22"/>
                <w:szCs w:val="22"/>
              </w:rPr>
              <w:t>DKL</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0E73B5" w14:textId="77777777" w:rsidR="004D2D6C" w:rsidRPr="00C651E7" w:rsidRDefault="00000000">
            <w:pPr>
              <w:rPr>
                <w:sz w:val="22"/>
                <w:szCs w:val="22"/>
              </w:rPr>
            </w:pPr>
            <w:r>
              <w:rPr>
                <w:sz w:val="22"/>
                <w:szCs w:val="22"/>
              </w:rPr>
              <w:t>Kullback–Leibler divergence</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79D2CC" w14:textId="77777777" w:rsidR="004D2D6C" w:rsidRPr="00C651E7" w:rsidRDefault="00000000">
            <w:pPr>
              <w:rPr>
                <w:sz w:val="22"/>
                <w:szCs w:val="22"/>
              </w:rPr>
            </w:pPr>
            <w:r>
              <w:rPr>
                <w:sz w:val="22"/>
                <w:szCs w:val="22"/>
              </w:rPr>
              <w:t>§4.1</w:t>
            </w:r>
          </w:p>
        </w:tc>
      </w:tr>
      <w:tr w:rsidR="004D2D6C" w:rsidRPr="00C651E7" w14:paraId="0230B432"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1DB7FB9" w14:textId="77777777" w:rsidR="004D2D6C" w:rsidRPr="00C651E7" w:rsidRDefault="00000000">
            <w:pPr>
              <w:rPr>
                <w:sz w:val="22"/>
                <w:szCs w:val="22"/>
              </w:rPr>
            </w:pPr>
            <w:r>
              <w:rPr>
                <w:sz w:val="22"/>
                <w:szCs w:val="22"/>
              </w:rPr>
              <w:t>Iₚ</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BFBFB7" w14:textId="77777777" w:rsidR="004D2D6C" w:rsidRPr="00C651E7" w:rsidRDefault="00000000">
            <w:pPr>
              <w:rPr>
                <w:sz w:val="22"/>
                <w:szCs w:val="22"/>
              </w:rPr>
            </w:pPr>
            <w:r>
              <w:rPr>
                <w:sz w:val="22"/>
                <w:szCs w:val="22"/>
              </w:rPr>
              <w:t>Information density parameter (Yolles’ ontological embedding of I)</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32A8B59" w14:textId="77777777" w:rsidR="004D2D6C" w:rsidRPr="00C651E7" w:rsidRDefault="00000000">
            <w:pPr>
              <w:rPr>
                <w:sz w:val="22"/>
                <w:szCs w:val="22"/>
              </w:rPr>
            </w:pPr>
            <w:r>
              <w:rPr>
                <w:sz w:val="22"/>
                <w:szCs w:val="22"/>
              </w:rPr>
              <w:t>§4.2</w:t>
            </w:r>
          </w:p>
        </w:tc>
      </w:tr>
      <w:tr w:rsidR="004D2D6C" w:rsidRPr="00C651E7" w14:paraId="5B98DBA3"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7D93FE" w14:textId="77777777" w:rsidR="004D2D6C" w:rsidRPr="00C651E7" w:rsidRDefault="00000000">
            <w:pPr>
              <w:rPr>
                <w:sz w:val="22"/>
                <w:szCs w:val="22"/>
              </w:rPr>
            </w:pPr>
            <w:r>
              <w:rPr>
                <w:sz w:val="22"/>
                <w:szCs w:val="22"/>
              </w:rPr>
              <w:t>Iρ</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9A34918" w14:textId="77777777" w:rsidR="004D2D6C" w:rsidRPr="00C651E7" w:rsidRDefault="00000000">
            <w:pPr>
              <w:rPr>
                <w:sz w:val="22"/>
                <w:szCs w:val="22"/>
              </w:rPr>
            </w:pPr>
            <w:r>
              <w:rPr>
                <w:sz w:val="22"/>
                <w:szCs w:val="22"/>
              </w:rPr>
              <w:t>Fisher Information = ∫ [</w:t>
            </w:r>
            <w:r>
              <w:rPr>
                <w:rFonts w:ascii="Cambria Math" w:hAnsi="Cambria Math" w:cs="Cambria Math"/>
                <w:sz w:val="22"/>
                <w:szCs w:val="22"/>
              </w:rPr>
              <w:t>∇</w:t>
            </w:r>
            <w:r>
              <w:rPr>
                <w:sz w:val="22"/>
                <w:szCs w:val="22"/>
              </w:rPr>
              <w:t xml:space="preserve"> log ρ]² ρ dx; coincides with Iₚ on probability manifolds</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381C0C" w14:textId="77777777" w:rsidR="004D2D6C" w:rsidRPr="00C651E7" w:rsidRDefault="00000000">
            <w:pPr>
              <w:rPr>
                <w:sz w:val="22"/>
                <w:szCs w:val="22"/>
              </w:rPr>
            </w:pPr>
            <w:r>
              <w:rPr>
                <w:sz w:val="22"/>
                <w:szCs w:val="22"/>
              </w:rPr>
              <w:t>§4.2</w:t>
            </w:r>
          </w:p>
        </w:tc>
      </w:tr>
      <w:tr w:rsidR="004D2D6C" w:rsidRPr="00C651E7" w14:paraId="4FB46FD4"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2EEFE8" w14:textId="77777777" w:rsidR="004D2D6C" w:rsidRPr="00C651E7" w:rsidRDefault="00000000">
            <w:pPr>
              <w:rPr>
                <w:sz w:val="22"/>
                <w:szCs w:val="22"/>
              </w:rPr>
            </w:pPr>
            <w:r>
              <w:rPr>
                <w:sz w:val="22"/>
                <w:szCs w:val="22"/>
              </w:rPr>
              <w:lastRenderedPageBreak/>
              <w:t>π</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B65C24" w14:textId="77777777" w:rsidR="004D2D6C" w:rsidRPr="00C651E7" w:rsidRDefault="00000000">
            <w:pPr>
              <w:rPr>
                <w:sz w:val="22"/>
                <w:szCs w:val="22"/>
              </w:rPr>
            </w:pPr>
            <w:r>
              <w:rPr>
                <w:sz w:val="22"/>
                <w:szCs w:val="22"/>
              </w:rPr>
              <w:t>Freezing projection (ℳ, Iₚ, c) → (m̂, ĉ)</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F9A825" w14:textId="77777777" w:rsidR="004D2D6C" w:rsidRPr="00C651E7" w:rsidRDefault="00000000">
            <w:pPr>
              <w:rPr>
                <w:sz w:val="22"/>
                <w:szCs w:val="22"/>
              </w:rPr>
            </w:pPr>
            <w:r>
              <w:rPr>
                <w:sz w:val="22"/>
                <w:szCs w:val="22"/>
              </w:rPr>
              <w:t>§5</w:t>
            </w:r>
          </w:p>
        </w:tc>
      </w:tr>
      <w:tr w:rsidR="004D2D6C" w:rsidRPr="00C651E7" w14:paraId="38F61907"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32F06E" w14:textId="77777777" w:rsidR="004D2D6C" w:rsidRPr="00C651E7" w:rsidRDefault="00000000">
            <w:pPr>
              <w:rPr>
                <w:sz w:val="22"/>
                <w:szCs w:val="22"/>
              </w:rPr>
            </w:pPr>
            <w:r>
              <w:rPr>
                <w:sz w:val="22"/>
                <w:szCs w:val="22"/>
              </w:rPr>
              <w:t>m</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3E92B0" w14:textId="77777777" w:rsidR="004D2D6C" w:rsidRPr="00C651E7" w:rsidRDefault="00000000">
            <w:pPr>
              <w:rPr>
                <w:sz w:val="22"/>
                <w:szCs w:val="22"/>
              </w:rPr>
            </w:pPr>
            <w:r>
              <w:rPr>
                <w:sz w:val="22"/>
                <w:szCs w:val="22"/>
              </w:rPr>
              <w:t>Inertial rest mass (frozen Iₚ); hat notation m̂ in all FGIR corporeal expressions</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8E44E7" w14:textId="77777777" w:rsidR="004D2D6C" w:rsidRPr="00C651E7" w:rsidRDefault="00000000">
            <w:pPr>
              <w:rPr>
                <w:sz w:val="22"/>
                <w:szCs w:val="22"/>
              </w:rPr>
            </w:pPr>
            <w:r>
              <w:rPr>
                <w:sz w:val="22"/>
                <w:szCs w:val="22"/>
              </w:rPr>
              <w:t>§5</w:t>
            </w:r>
          </w:p>
        </w:tc>
      </w:tr>
      <w:tr w:rsidR="004D2D6C" w:rsidRPr="00C651E7" w14:paraId="3D16C3D5"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2AE37B" w14:textId="77777777" w:rsidR="004D2D6C" w:rsidRPr="00C651E7" w:rsidRDefault="00000000">
            <w:pPr>
              <w:rPr>
                <w:sz w:val="22"/>
                <w:szCs w:val="22"/>
              </w:rPr>
            </w:pPr>
            <w:r>
              <w:rPr>
                <w:sz w:val="22"/>
                <w:szCs w:val="22"/>
              </w:rPr>
              <w:t>c</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65B988" w14:textId="77777777" w:rsidR="004D2D6C" w:rsidRPr="00C651E7" w:rsidRDefault="00000000">
            <w:pPr>
              <w:rPr>
                <w:sz w:val="22"/>
                <w:szCs w:val="22"/>
              </w:rPr>
            </w:pPr>
            <w:r>
              <w:rPr>
                <w:sz w:val="22"/>
                <w:szCs w:val="22"/>
              </w:rPr>
              <w:t>Incorporeal coercivity constant; maps to ĉ (the speed of light) under the freezing projection π</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8B53B3" w14:textId="77777777" w:rsidR="004D2D6C" w:rsidRPr="00C651E7" w:rsidRDefault="00000000">
            <w:pPr>
              <w:rPr>
                <w:sz w:val="22"/>
                <w:szCs w:val="22"/>
              </w:rPr>
            </w:pPr>
            <w:r>
              <w:rPr>
                <w:sz w:val="22"/>
                <w:szCs w:val="22"/>
              </w:rPr>
              <w:t>§5</w:t>
            </w:r>
          </w:p>
        </w:tc>
      </w:tr>
      <w:tr w:rsidR="004D2D6C" w:rsidRPr="00C651E7" w14:paraId="5F818FF9"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6398FF" w14:textId="77777777" w:rsidR="004D2D6C" w:rsidRPr="00C651E7" w:rsidRDefault="00000000">
            <w:pPr>
              <w:rPr>
                <w:sz w:val="22"/>
                <w:szCs w:val="22"/>
              </w:rPr>
            </w:pPr>
            <w:r>
              <w:rPr>
                <w:sz w:val="22"/>
                <w:szCs w:val="22"/>
              </w:rPr>
              <w:t>ĉ</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0F14793" w14:textId="77777777" w:rsidR="004D2D6C" w:rsidRPr="00C651E7" w:rsidRDefault="00000000">
            <w:pPr>
              <w:rPr>
                <w:sz w:val="22"/>
                <w:szCs w:val="22"/>
              </w:rPr>
            </w:pPr>
            <w:r>
              <w:rPr>
                <w:sz w:val="22"/>
                <w:szCs w:val="22"/>
              </w:rPr>
              <w:t>Corporeal image of the informational coercivity constant under π; equals Einstein’s c within the four-dimensional Lorentzian manifold (F2). The hat marks provenance: ĉ is the frozen form of the incorporeal coercivity constant c, not a new physical constant.</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353C38C" w14:textId="77777777" w:rsidR="004D2D6C" w:rsidRPr="00C651E7" w:rsidRDefault="00000000">
            <w:pPr>
              <w:rPr>
                <w:sz w:val="22"/>
                <w:szCs w:val="22"/>
              </w:rPr>
            </w:pPr>
            <w:r>
              <w:rPr>
                <w:sz w:val="22"/>
                <w:szCs w:val="22"/>
              </w:rPr>
              <w:t>§5, §6</w:t>
            </w:r>
          </w:p>
        </w:tc>
      </w:tr>
      <w:tr w:rsidR="004D2D6C" w:rsidRPr="00C651E7" w14:paraId="48AF3A4E"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87D338E" w14:textId="77777777" w:rsidR="004D2D6C" w:rsidRPr="00C651E7" w:rsidRDefault="00000000">
            <w:pPr>
              <w:rPr>
                <w:sz w:val="22"/>
                <w:szCs w:val="22"/>
              </w:rPr>
            </w:pPr>
            <w:r>
              <w:rPr>
                <w:sz w:val="22"/>
                <w:szCs w:val="22"/>
              </w:rPr>
              <w:t>J, I, K, C</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2F77DF" w14:textId="77777777" w:rsidR="004D2D6C" w:rsidRPr="00C651E7" w:rsidRDefault="00000000">
            <w:pPr>
              <w:rPr>
                <w:sz w:val="22"/>
                <w:szCs w:val="22"/>
              </w:rPr>
            </w:pPr>
            <w:r>
              <w:rPr>
                <w:sz w:val="22"/>
                <w:szCs w:val="22"/>
              </w:rPr>
              <w:t>FGIR four fields: Dispositional, Operative, Sustentative, Corporeal</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168313" w14:textId="77777777" w:rsidR="004D2D6C" w:rsidRPr="00C651E7" w:rsidRDefault="00000000">
            <w:pPr>
              <w:rPr>
                <w:sz w:val="22"/>
                <w:szCs w:val="22"/>
              </w:rPr>
            </w:pPr>
            <w:r>
              <w:rPr>
                <w:sz w:val="22"/>
                <w:szCs w:val="22"/>
              </w:rPr>
              <w:t>§4.2</w:t>
            </w:r>
          </w:p>
        </w:tc>
      </w:tr>
      <w:tr w:rsidR="004D2D6C" w:rsidRPr="00C651E7" w14:paraId="0F6DA6CE"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55CAA57" w14:textId="77777777" w:rsidR="004D2D6C" w:rsidRPr="00C651E7" w:rsidRDefault="00000000">
            <w:pPr>
              <w:rPr>
                <w:sz w:val="22"/>
                <w:szCs w:val="22"/>
              </w:rPr>
            </w:pPr>
            <w:r>
              <w:rPr>
                <w:sz w:val="22"/>
                <w:szCs w:val="22"/>
              </w:rPr>
              <w:t>λ</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EFF8394" w14:textId="77777777" w:rsidR="004D2D6C" w:rsidRPr="00C651E7" w:rsidRDefault="00000000">
            <w:pPr>
              <w:rPr>
                <w:sz w:val="22"/>
                <w:szCs w:val="22"/>
              </w:rPr>
            </w:pPr>
            <w:r>
              <w:rPr>
                <w:sz w:val="22"/>
                <w:szCs w:val="22"/>
              </w:rPr>
              <w:t>Imperative curvature = J / I (FGIR diagnostic)</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B67928B" w14:textId="77777777" w:rsidR="004D2D6C" w:rsidRPr="00C651E7" w:rsidRDefault="00000000">
            <w:pPr>
              <w:rPr>
                <w:sz w:val="22"/>
                <w:szCs w:val="22"/>
              </w:rPr>
            </w:pPr>
            <w:r>
              <w:rPr>
                <w:sz w:val="22"/>
                <w:szCs w:val="22"/>
              </w:rPr>
              <w:t>§4.2</w:t>
            </w:r>
          </w:p>
        </w:tc>
      </w:tr>
      <w:tr w:rsidR="004D2D6C" w:rsidRPr="00C651E7" w14:paraId="14D06A70"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CA4EB2C" w14:textId="77777777" w:rsidR="004D2D6C" w:rsidRPr="00C651E7" w:rsidRDefault="00000000">
            <w:pPr>
              <w:rPr>
                <w:sz w:val="22"/>
                <w:szCs w:val="22"/>
              </w:rPr>
            </w:pPr>
            <w:r>
              <w:rPr>
                <w:sz w:val="22"/>
                <w:szCs w:val="22"/>
              </w:rPr>
              <w:t>Λ(I)</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DDEFBFB" w14:textId="77777777" w:rsidR="004D2D6C" w:rsidRPr="00C651E7" w:rsidRDefault="00000000">
            <w:pPr>
              <w:rPr>
                <w:sz w:val="22"/>
                <w:szCs w:val="22"/>
              </w:rPr>
            </w:pPr>
            <w:r>
              <w:rPr>
                <w:sz w:val="22"/>
                <w:szCs w:val="22"/>
              </w:rPr>
              <w:t>Boundary penalty functional = (κ/2) I²</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E75B5E8" w14:textId="77777777" w:rsidR="004D2D6C" w:rsidRPr="00C651E7" w:rsidRDefault="00000000">
            <w:pPr>
              <w:rPr>
                <w:sz w:val="22"/>
                <w:szCs w:val="22"/>
              </w:rPr>
            </w:pPr>
            <w:r>
              <w:rPr>
                <w:sz w:val="22"/>
                <w:szCs w:val="22"/>
              </w:rPr>
              <w:t>§3, A3</w:t>
            </w:r>
          </w:p>
        </w:tc>
      </w:tr>
      <w:tr w:rsidR="004D2D6C" w:rsidRPr="00C651E7" w14:paraId="38F678BA" w14:textId="77777777">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900668" w14:textId="77777777" w:rsidR="004D2D6C" w:rsidRPr="00C651E7" w:rsidRDefault="00000000">
            <w:pPr>
              <w:rPr>
                <w:sz w:val="22"/>
                <w:szCs w:val="22"/>
              </w:rPr>
            </w:pPr>
            <w:r>
              <w:rPr>
                <w:sz w:val="22"/>
                <w:szCs w:val="22"/>
              </w:rPr>
              <w:t>κ</w:t>
            </w:r>
          </w:p>
        </w:tc>
        <w:tc>
          <w:tcPr>
            <w:tcW w:w="4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25294B5" w14:textId="77777777" w:rsidR="004D2D6C" w:rsidRPr="00C651E7" w:rsidRDefault="00000000">
            <w:pPr>
              <w:rPr>
                <w:sz w:val="22"/>
                <w:szCs w:val="22"/>
              </w:rPr>
            </w:pPr>
            <w:r>
              <w:rPr>
                <w:sz w:val="22"/>
                <w:szCs w:val="22"/>
              </w:rPr>
              <w:t>Scale-invariance kernel in the boundary penalty</w:t>
            </w:r>
          </w:p>
        </w:tc>
        <w:tc>
          <w:tcPr>
            <w:tcW w:w="1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51F9DD3" w14:textId="77777777" w:rsidR="004D2D6C" w:rsidRPr="00C651E7" w:rsidRDefault="00000000">
            <w:pPr>
              <w:rPr>
                <w:sz w:val="22"/>
                <w:szCs w:val="22"/>
              </w:rPr>
            </w:pPr>
            <w:r>
              <w:rPr>
                <w:sz w:val="22"/>
                <w:szCs w:val="22"/>
              </w:rPr>
              <w:t>§3, A3</w:t>
            </w:r>
          </w:p>
        </w:tc>
      </w:tr>
    </w:tbl>
    <w:p w14:paraId="62823F93" w14:textId="77777777" w:rsidR="004D2D6C" w:rsidRPr="00DA11EE" w:rsidRDefault="00000000" w:rsidP="00DA11EE">
      <w:pPr>
        <w:spacing w:before="80" w:after="200"/>
        <w:jc w:val="center"/>
        <w:rPr>
          <w:sz w:val="22"/>
          <w:szCs w:val="22"/>
        </w:rPr>
      </w:pPr>
      <w:r>
        <w:rPr>
          <w:sz w:val="22"/>
          <w:szCs w:val="22"/>
        </w:rPr>
        <w:t>Table A1: Mathematical notation used throughout the paper.</w:t>
      </w:r>
    </w:p>
    <w:p w14:paraId="39CDD999" w14:textId="77777777" w:rsidR="004D2D6C" w:rsidRPr="00C651E7" w:rsidRDefault="00000000">
      <w:pPr>
        <w:spacing w:after="160" w:line="276" w:lineRule="auto"/>
        <w:jc w:val="both"/>
        <w:rPr>
          <w:sz w:val="22"/>
          <w:szCs w:val="22"/>
        </w:rPr>
      </w:pPr>
      <w:r>
        <w:rPr>
          <w:i/>
          <w:iCs/>
          <w:sz w:val="22"/>
          <w:szCs w:val="22"/>
        </w:rPr>
        <w:t xml:space="preserve">Convention: </w:t>
      </w:r>
      <w:r>
        <w:rPr>
          <w:sz w:val="22"/>
          <w:szCs w:val="22"/>
        </w:rPr>
        <w:t>upright symbols (I, C, J, K) denote ontologically primary informational quantities; italic symbols (ρ, θ, m, c, ĉ) denote mathematical proxies or corporeal projections; plain italic c denotes the incorporeal coercivity constant; ĉ denotes the frozen coercivity constant (equal to Einstein's speed of light within C</w:t>
      </w:r>
      <w:r>
        <w:rPr>
          <w:sz w:val="22"/>
          <w:szCs w:val="22"/>
          <w:vertAlign w:val="subscript"/>
        </w:rPr>
        <w:t>impl</w:t>
      </w:r>
      <w:r>
        <w:rPr>
          <w:sz w:val="22"/>
          <w:szCs w:val="22"/>
        </w:rPr>
        <w:t>) (FIFT v9h, §III).</w:t>
      </w:r>
    </w:p>
    <w:p w14:paraId="29218B57" w14:textId="77777777" w:rsidR="00F1709B" w:rsidRDefault="00000000">
      <w:pPr>
        <w:pStyle w:val="Heading1"/>
        <w:rPr>
          <w:sz w:val="22"/>
          <w:szCs w:val="22"/>
        </w:rPr>
      </w:pPr>
      <w:r>
        <w:rPr>
          <w:sz w:val="22"/>
          <w:szCs w:val="22"/>
        </w:rPr>
        <w:t>Appendix B.  The Berezin–Pfaffian Entity Collapse: An Explicit Construction within the Rigidity Calculus</w:t>
      </w:r>
    </w:p>
    <w:p w14:paraId="06EB4A65" w14:textId="77777777" w:rsidR="00F1709B" w:rsidRDefault="00000000">
      <w:pPr>
        <w:spacing w:before="200" w:after="80"/>
        <w:rPr>
          <w:b/>
          <w:bCs/>
          <w:sz w:val="22"/>
          <w:szCs w:val="22"/>
        </w:rPr>
      </w:pPr>
      <w:r>
        <w:rPr>
          <w:b/>
          <w:bCs/>
          <w:sz w:val="22"/>
          <w:szCs w:val="22"/>
        </w:rPr>
        <w:t>B.0  Purpose</w:t>
      </w:r>
    </w:p>
    <w:p w14:paraId="0B91CA9A" w14:textId="77777777" w:rsidR="00F1709B" w:rsidRDefault="00000000">
      <w:pPr>
        <w:spacing w:after="160" w:line="276" w:lineRule="auto"/>
        <w:jc w:val="both"/>
        <w:rPr>
          <w:sz w:val="22"/>
          <w:szCs w:val="22"/>
        </w:rPr>
      </w:pPr>
      <w:r>
        <w:rPr>
          <w:sz w:val="22"/>
          <w:szCs w:val="22"/>
        </w:rPr>
        <w:t>The Constitutional Persistence Cycle (CPC) of §6B proceeds in three steps: the Łojasiewicz rigidity lock, the Berezin–Pfaffian entity collapse, and the Picard–Lefschetz monodromy reset. The first and third steps are standard. The Łojasiewicz lock is the superlinear gradient mechanism of SRP‑S3. The Picard–Lefschetz reset is the classical monodromy action on vanishing cycles. The middle step has so far been named rather than defined. This appendix supplies the missing definition. It gives the explicit skew‑symmetric system whose Pfaffian governs the collapse, states the vanishing condition that triggers it, and identifies the geometric quantity that the collapse removes.</w:t>
      </w:r>
    </w:p>
    <w:p w14:paraId="73163B7A" w14:textId="77777777" w:rsidR="00F1709B" w:rsidRDefault="00000000">
      <w:pPr>
        <w:spacing w:after="160" w:line="276" w:lineRule="auto"/>
        <w:jc w:val="both"/>
        <w:rPr>
          <w:sz w:val="22"/>
          <w:szCs w:val="22"/>
        </w:rPr>
      </w:pPr>
      <w:r>
        <w:rPr>
          <w:sz w:val="22"/>
          <w:szCs w:val="22"/>
        </w:rPr>
        <w:t>The construction is carried out within the Rigidity Calculus. All objects are defined on the source fibre bundle π : M</w:t>
      </w:r>
      <w:r>
        <w:rPr>
          <w:sz w:val="22"/>
          <w:szCs w:val="22"/>
          <w:vertAlign w:val="subscript"/>
        </w:rPr>
        <w:t>I</w:t>
      </w:r>
      <w:r>
        <w:rPr>
          <w:sz w:val="22"/>
          <w:szCs w:val="22"/>
        </w:rPr>
        <w:t xml:space="preserve"> → M, with rigidity operator Δ</w:t>
      </w:r>
      <w:r>
        <w:rPr>
          <w:sz w:val="22"/>
          <w:szCs w:val="22"/>
          <w:vertAlign w:val="subscript"/>
        </w:rPr>
        <w:t>C</w:t>
      </w:r>
      <w:r>
        <w:rPr>
          <w:sz w:val="22"/>
          <w:szCs w:val="22"/>
        </w:rPr>
        <w:t xml:space="preserve"> and admissibility energy </w:t>
      </w:r>
      <w:r>
        <w:rPr>
          <w:i/>
          <w:iCs/>
          <w:sz w:val="22"/>
          <w:szCs w:val="22"/>
        </w:rPr>
        <w:t>E</w:t>
      </w:r>
      <w:r>
        <w:rPr>
          <w:sz w:val="22"/>
          <w:szCs w:val="22"/>
        </w:rPr>
        <w:t xml:space="preserve"> = ∫ </w:t>
      </w:r>
      <w:r>
        <w:rPr>
          <w:i/>
          <w:iCs/>
          <w:sz w:val="22"/>
          <w:szCs w:val="22"/>
        </w:rPr>
        <w:t>I</w:t>
      </w:r>
      <w:r>
        <w:rPr>
          <w:sz w:val="22"/>
          <w:szCs w:val="22"/>
        </w:rPr>
        <w:t xml:space="preserve"> </w:t>
      </w:r>
      <w:r>
        <w:rPr>
          <w:i/>
          <w:iCs/>
          <w:sz w:val="22"/>
          <w:szCs w:val="22"/>
        </w:rPr>
        <w:t>c</w:t>
      </w:r>
      <w:r>
        <w:rPr>
          <w:sz w:val="22"/>
          <w:szCs w:val="22"/>
        </w:rPr>
        <w:t>² dμ. No external apparatus beyond standard linear algebra and the theory of the Pfaffian is required.</w:t>
      </w:r>
    </w:p>
    <w:p w14:paraId="36F4A6BD" w14:textId="77777777" w:rsidR="00F1709B" w:rsidRDefault="00000000">
      <w:pPr>
        <w:spacing w:before="200" w:after="80"/>
        <w:rPr>
          <w:b/>
          <w:bCs/>
          <w:sz w:val="22"/>
          <w:szCs w:val="22"/>
        </w:rPr>
      </w:pPr>
      <w:r>
        <w:rPr>
          <w:b/>
          <w:bCs/>
          <w:sz w:val="22"/>
          <w:szCs w:val="22"/>
        </w:rPr>
        <w:t>B.1  The Setting: Vanishing Cycles on the Source Fibre</w:t>
      </w:r>
    </w:p>
    <w:p w14:paraId="62AD7E65" w14:textId="77777777" w:rsidR="00F1709B" w:rsidRDefault="00000000">
      <w:pPr>
        <w:spacing w:after="160" w:line="276" w:lineRule="auto"/>
        <w:jc w:val="both"/>
        <w:rPr>
          <w:sz w:val="22"/>
          <w:szCs w:val="22"/>
        </w:rPr>
      </w:pPr>
      <w:r>
        <w:rPr>
          <w:sz w:val="22"/>
          <w:szCs w:val="22"/>
        </w:rPr>
        <w:lastRenderedPageBreak/>
        <w:t>Fix a point p ∈ M at which the rigidity operator Δ</w:t>
      </w:r>
      <w:r>
        <w:rPr>
          <w:sz w:val="22"/>
          <w:szCs w:val="22"/>
          <w:vertAlign w:val="subscript"/>
        </w:rPr>
        <w:t>C</w:t>
      </w:r>
      <w:r>
        <w:rPr>
          <w:sz w:val="22"/>
          <w:szCs w:val="22"/>
        </w:rPr>
        <w:t xml:space="preserve"> develops a degeneration. By the spectral theory of the Rigidity Calculus, the operative geometry near p is controlled by the finite‑dimensional space of vanishing cycles that collapse as the fibre approaches the singular point. Let</w:t>
      </w:r>
    </w:p>
    <w:p w14:paraId="34D6CB73" w14:textId="77777777" w:rsidR="00F1709B" w:rsidRDefault="00000000">
      <w:pPr>
        <w:spacing w:before="80" w:after="160"/>
        <w:jc w:val="center"/>
        <w:rPr>
          <w:i/>
          <w:iCs/>
          <w:sz w:val="22"/>
          <w:szCs w:val="22"/>
        </w:rPr>
      </w:pPr>
      <w:r>
        <w:rPr>
          <w:i/>
          <w:iCs/>
          <w:sz w:val="22"/>
          <w:szCs w:val="22"/>
        </w:rPr>
        <w:t>V</w:t>
      </w:r>
      <w:r>
        <w:rPr>
          <w:sz w:val="22"/>
          <w:szCs w:val="22"/>
          <w:vertAlign w:val="subscript"/>
        </w:rPr>
        <w:t>p</w:t>
      </w:r>
      <w:r>
        <w:rPr>
          <w:i/>
          <w:iCs/>
          <w:sz w:val="22"/>
          <w:szCs w:val="22"/>
        </w:rPr>
        <w:t xml:space="preserve"> = </w:t>
      </w:r>
      <w:r>
        <w:rPr>
          <w:sz w:val="22"/>
          <w:szCs w:val="22"/>
        </w:rPr>
        <w:t>span{</w:t>
      </w:r>
      <w:r>
        <w:rPr>
          <w:i/>
          <w:iCs/>
          <w:sz w:val="22"/>
          <w:szCs w:val="22"/>
        </w:rPr>
        <w:t xml:space="preserve"> e₁, e₂, …, e_</w:t>
      </w:r>
      <w:r>
        <w:rPr>
          <w:sz w:val="22"/>
          <w:szCs w:val="22"/>
        </w:rPr>
        <w:t>{2</w:t>
      </w:r>
      <w:r>
        <w:rPr>
          <w:i/>
          <w:iCs/>
          <w:sz w:val="22"/>
          <w:szCs w:val="22"/>
        </w:rPr>
        <w:t>n</w:t>
      </w:r>
      <w:r>
        <w:rPr>
          <w:sz w:val="22"/>
          <w:szCs w:val="22"/>
        </w:rPr>
        <w:t>} }</w:t>
      </w:r>
    </w:p>
    <w:p w14:paraId="2F47BDB1" w14:textId="77777777" w:rsidR="004A7465" w:rsidRPr="004A7465" w:rsidRDefault="004A7465">
      <w:pPr>
        <w:spacing w:after="160" w:line="276" w:lineRule="auto"/>
        <w:jc w:val="both"/>
        <w:rPr>
          <w:sz w:val="22"/>
          <w:szCs w:val="22"/>
        </w:rPr>
      </w:pPr>
      <w:r>
        <w:rPr>
          <w:sz w:val="22"/>
          <w:szCs w:val="22"/>
        </w:rPr>
        <w:t xml:space="preserve">Denote this space, of even real dimension </w:t>
      </w:r>
      <m:oMath>
        <m:r>
          <w:rPr>
            <w:rFonts w:ascii="Cambria Math" w:hAnsi="Cambria Math"/>
            <w:sz w:val="22"/>
            <w:szCs w:val="22"/>
          </w:rPr>
          <m:t>2n</m:t>
        </m:r>
      </m:oMath>
      <w:r>
        <w:rPr>
          <w:sz w:val="22"/>
          <w:szCs w:val="22"/>
        </w:rPr>
        <w:t xml:space="preserve">. The evenness is not an assumption. It is forced by the symplectic structure that the Fisher–Rao metric induces on the operative manifold: vanishing cycles occur in conjugate pairs </w:t>
      </w:r>
      <m:oMath>
        <m:d>
          <m:dPr>
            <m:sep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e</m:t>
                </m:r>
              </m:e>
              <m:sub>
                <m:r>
                  <w:rPr>
                    <w:rFonts w:ascii="Cambria Math" w:hAnsi="Cambria Math"/>
                    <w:sz w:val="22"/>
                    <w:szCs w:val="22"/>
                  </w:rPr>
                  <m:t>2k-1</m:t>
                </m:r>
              </m:sub>
            </m:sSub>
          </m:e>
          <m:e>
            <m:sSub>
              <m:sSubPr>
                <m:ctrlPr>
                  <w:rPr>
                    <w:rFonts w:ascii="Cambria Math" w:hAnsi="Cambria Math"/>
                    <w:sz w:val="22"/>
                    <w:szCs w:val="22"/>
                  </w:rPr>
                </m:ctrlPr>
              </m:sSubPr>
              <m:e>
                <m:r>
                  <w:rPr>
                    <w:rFonts w:ascii="Cambria Math" w:hAnsi="Cambria Math"/>
                    <w:sz w:val="22"/>
                    <w:szCs w:val="22"/>
                  </w:rPr>
                  <m:t>e</m:t>
                </m:r>
              </m:e>
              <m:sub>
                <m:r>
                  <w:rPr>
                    <w:rFonts w:ascii="Cambria Math" w:hAnsi="Cambria Math"/>
                    <w:sz w:val="22"/>
                    <w:szCs w:val="22"/>
                  </w:rPr>
                  <m:t>2k</m:t>
                </m:r>
              </m:sub>
            </m:sSub>
          </m:e>
        </m:d>
      </m:oMath>
      <w:r>
        <w:rPr>
          <w:sz w:val="22"/>
          <w:szCs w:val="22"/>
        </w:rPr>
        <w:t>, each pair spanning a two</w:t>
      </w:r>
      <w:r>
        <w:rPr>
          <w:sz w:val="22"/>
          <w:szCs w:val="22"/>
        </w:rPr>
        <w:noBreakHyphen/>
        <w:t>dimensional symplectic block. This is the same pairing that the 2–3–2–3 parity rule of the recursion hierarchy expresses at even recursion orders.</w:t>
      </w:r>
    </w:p>
    <w:p w14:paraId="6E44EAA4" w14:textId="77777777" w:rsidR="00F1709B" w:rsidRDefault="00000000">
      <w:pPr>
        <w:spacing w:after="160" w:line="276" w:lineRule="auto"/>
        <w:jc w:val="both"/>
        <w:rPr>
          <w:sz w:val="22"/>
          <w:szCs w:val="22"/>
        </w:rPr>
      </w:pPr>
      <w:r>
        <w:rPr>
          <w:sz w:val="22"/>
          <w:szCs w:val="22"/>
        </w:rPr>
        <w:t>On V</w:t>
      </w:r>
      <w:r>
        <w:rPr>
          <w:sz w:val="22"/>
          <w:szCs w:val="22"/>
          <w:vertAlign w:val="subscript"/>
        </w:rPr>
        <w:t>p</w:t>
      </w:r>
      <w:r>
        <w:rPr>
          <w:sz w:val="22"/>
          <w:szCs w:val="22"/>
        </w:rPr>
        <w:t>, the source geometry defines an intersection form: the skew‑symmetric bilinear pairing recording how vanishing cycles link under transport around the singular point. We write it as a real antisymmetric matrix</w:t>
      </w:r>
    </w:p>
    <w:p w14:paraId="64EA9062" w14:textId="77777777" w:rsidR="00F1709B" w:rsidRDefault="00000000">
      <w:pPr>
        <w:spacing w:before="80" w:after="160"/>
        <w:jc w:val="center"/>
        <w:rPr>
          <w:i/>
          <w:iCs/>
          <w:sz w:val="22"/>
          <w:szCs w:val="22"/>
        </w:rPr>
      </w:pPr>
      <w:r>
        <w:rPr>
          <w:i/>
          <w:iCs/>
          <w:sz w:val="22"/>
          <w:szCs w:val="22"/>
        </w:rPr>
        <w:t>Ω</w:t>
      </w:r>
      <w:r>
        <w:rPr>
          <w:sz w:val="22"/>
          <w:szCs w:val="22"/>
          <w:vertAlign w:val="subscript"/>
        </w:rPr>
        <w:t>p</w:t>
      </w:r>
      <w:r>
        <w:rPr>
          <w:i/>
          <w:iCs/>
          <w:sz w:val="22"/>
          <w:szCs w:val="22"/>
        </w:rPr>
        <w:t xml:space="preserve"> = </w:t>
      </w:r>
      <w:r>
        <w:rPr>
          <w:sz w:val="22"/>
          <w:szCs w:val="22"/>
        </w:rPr>
        <w:t>(</w:t>
      </w:r>
      <w:r>
        <w:rPr>
          <w:i/>
          <w:iCs/>
          <w:sz w:val="22"/>
          <w:szCs w:val="22"/>
        </w:rPr>
        <w:t xml:space="preserve"> ω</w:t>
      </w:r>
      <w:r>
        <w:rPr>
          <w:i/>
          <w:iCs/>
          <w:sz w:val="22"/>
          <w:szCs w:val="22"/>
          <w:vertAlign w:val="subscript"/>
        </w:rPr>
        <w:t>ij</w:t>
      </w:r>
      <w:r>
        <w:rPr>
          <w:i/>
          <w:iCs/>
          <w:sz w:val="22"/>
          <w:szCs w:val="22"/>
        </w:rPr>
        <w:t xml:space="preserve"> </w:t>
      </w:r>
      <w:r>
        <w:rPr>
          <w:sz w:val="22"/>
          <w:szCs w:val="22"/>
        </w:rPr>
        <w:t>)</w:t>
      </w:r>
      <w:r>
        <w:rPr>
          <w:i/>
          <w:iCs/>
          <w:sz w:val="22"/>
          <w:szCs w:val="22"/>
        </w:rPr>
        <w:t>,   ω</w:t>
      </w:r>
      <w:r>
        <w:rPr>
          <w:i/>
          <w:iCs/>
          <w:sz w:val="22"/>
          <w:szCs w:val="22"/>
          <w:vertAlign w:val="subscript"/>
        </w:rPr>
        <w:t>ij</w:t>
      </w:r>
      <w:r>
        <w:rPr>
          <w:i/>
          <w:iCs/>
          <w:sz w:val="22"/>
          <w:szCs w:val="22"/>
        </w:rPr>
        <w:t xml:space="preserve"> = ⟨ e</w:t>
      </w:r>
      <w:r>
        <w:rPr>
          <w:i/>
          <w:iCs/>
          <w:sz w:val="22"/>
          <w:szCs w:val="22"/>
          <w:vertAlign w:val="subscript"/>
        </w:rPr>
        <w:t>i</w:t>
      </w:r>
      <w:r>
        <w:rPr>
          <w:i/>
          <w:iCs/>
          <w:sz w:val="22"/>
          <w:szCs w:val="22"/>
        </w:rPr>
        <w:t xml:space="preserve"> , e</w:t>
      </w:r>
      <w:r>
        <w:rPr>
          <w:i/>
          <w:iCs/>
          <w:sz w:val="22"/>
          <w:szCs w:val="22"/>
          <w:vertAlign w:val="subscript"/>
        </w:rPr>
        <w:t>j</w:t>
      </w:r>
      <w:r>
        <w:rPr>
          <w:i/>
          <w:iCs/>
          <w:sz w:val="22"/>
          <w:szCs w:val="22"/>
        </w:rPr>
        <w:t xml:space="preserve"> ⟩</w:t>
      </w:r>
      <w:r>
        <w:rPr>
          <w:sz w:val="22"/>
          <w:szCs w:val="22"/>
          <w:vertAlign w:val="subscript"/>
        </w:rPr>
        <w:t>intersection</w:t>
      </w:r>
      <w:r>
        <w:rPr>
          <w:i/>
          <w:iCs/>
          <w:sz w:val="22"/>
          <w:szCs w:val="22"/>
        </w:rPr>
        <w:t>,   ω</w:t>
      </w:r>
      <w:r>
        <w:rPr>
          <w:i/>
          <w:iCs/>
          <w:sz w:val="22"/>
          <w:szCs w:val="22"/>
          <w:vertAlign w:val="subscript"/>
        </w:rPr>
        <w:t>ji</w:t>
      </w:r>
      <w:r>
        <w:rPr>
          <w:i/>
          <w:iCs/>
          <w:sz w:val="22"/>
          <w:szCs w:val="22"/>
        </w:rPr>
        <w:t>= −ω</w:t>
      </w:r>
      <w:r>
        <w:rPr>
          <w:i/>
          <w:iCs/>
          <w:sz w:val="22"/>
          <w:szCs w:val="22"/>
          <w:vertAlign w:val="subscript"/>
        </w:rPr>
        <w:t>ij</w:t>
      </w:r>
      <w:r>
        <w:rPr>
          <w:i/>
          <w:iCs/>
          <w:sz w:val="22"/>
          <w:szCs w:val="22"/>
        </w:rPr>
        <w:t>.</w:t>
      </w:r>
    </w:p>
    <w:p w14:paraId="15B1F4B8" w14:textId="77777777" w:rsidR="00F1709B" w:rsidRDefault="00000000">
      <w:pPr>
        <w:spacing w:after="160" w:line="276" w:lineRule="auto"/>
        <w:jc w:val="both"/>
        <w:rPr>
          <w:sz w:val="22"/>
          <w:szCs w:val="22"/>
        </w:rPr>
      </w:pPr>
      <w:r>
        <w:rPr>
          <w:sz w:val="22"/>
          <w:szCs w:val="22"/>
        </w:rPr>
        <w:t>Antisymmetry is the defining property of an intersection form on cycles of complementary dimension. It is what distinguishes Ω</w:t>
      </w:r>
      <w:r>
        <w:rPr>
          <w:sz w:val="22"/>
          <w:szCs w:val="22"/>
          <w:vertAlign w:val="subscript"/>
        </w:rPr>
        <w:t>p</w:t>
      </w:r>
      <w:r>
        <w:rPr>
          <w:sz w:val="22"/>
          <w:szCs w:val="22"/>
        </w:rPr>
        <w:t xml:space="preserve"> from the symmetric Fisher–Rao metric g</w:t>
      </w:r>
      <w:r>
        <w:rPr>
          <w:i/>
          <w:iCs/>
          <w:sz w:val="22"/>
          <w:szCs w:val="22"/>
          <w:vertAlign w:val="subscript"/>
        </w:rPr>
        <w:t>ij</w:t>
      </w:r>
      <w:r>
        <w:rPr>
          <w:sz w:val="22"/>
          <w:szCs w:val="22"/>
        </w:rPr>
        <w:t>. The metric measures length. The intersection form measures linking. The collapse is governed by the second, not the first.</w:t>
      </w:r>
    </w:p>
    <w:p w14:paraId="6705E6A5" w14:textId="77777777" w:rsidR="00F1709B" w:rsidRDefault="00000000">
      <w:pPr>
        <w:spacing w:before="200" w:after="80"/>
        <w:rPr>
          <w:b/>
          <w:bCs/>
          <w:sz w:val="22"/>
          <w:szCs w:val="22"/>
        </w:rPr>
      </w:pPr>
      <w:r>
        <w:rPr>
          <w:b/>
          <w:bCs/>
          <w:sz w:val="22"/>
          <w:szCs w:val="22"/>
        </w:rPr>
        <w:t>B.2  The Berezin Integral and the Pfaffian</w:t>
      </w:r>
    </w:p>
    <w:p w14:paraId="686E43CC" w14:textId="77777777" w:rsidR="00F1709B" w:rsidRDefault="00000000">
      <w:pPr>
        <w:spacing w:after="160" w:line="276" w:lineRule="auto"/>
        <w:jc w:val="both"/>
        <w:rPr>
          <w:sz w:val="22"/>
          <w:szCs w:val="22"/>
        </w:rPr>
      </w:pPr>
      <w:r>
        <w:rPr>
          <w:sz w:val="22"/>
          <w:szCs w:val="22"/>
        </w:rPr>
        <w:t>The Berezin integral is the canonical linear functional on the Grassmann algebra generated by the vanishing cycles (Berezin, 1966; Berezin, 1987). Introduce anticommuting generators θ¹, …, θ2n, one for each basis cycle, satisfying</w:t>
      </w:r>
    </w:p>
    <w:p w14:paraId="692BCC9D" w14:textId="77777777" w:rsidR="00F1709B" w:rsidRDefault="00000000">
      <w:pPr>
        <w:spacing w:before="80" w:after="160"/>
        <w:jc w:val="center"/>
        <w:rPr>
          <w:i/>
          <w:iCs/>
          <w:sz w:val="22"/>
          <w:szCs w:val="22"/>
        </w:rPr>
      </w:pPr>
      <w:r>
        <w:rPr>
          <w:i/>
          <w:iCs/>
          <w:sz w:val="22"/>
          <w:szCs w:val="22"/>
        </w:rPr>
        <w:t>θⁱ θʲ = − θʲ θⁱ,   so that (θⁱ)² = 0.</w:t>
      </w:r>
    </w:p>
    <w:p w14:paraId="50558544" w14:textId="77777777" w:rsidR="00F1709B" w:rsidRDefault="00000000">
      <w:pPr>
        <w:spacing w:after="160" w:line="276" w:lineRule="auto"/>
        <w:jc w:val="both"/>
        <w:rPr>
          <w:sz w:val="22"/>
          <w:szCs w:val="22"/>
        </w:rPr>
      </w:pPr>
      <w:r>
        <w:rPr>
          <w:sz w:val="22"/>
          <w:szCs w:val="22"/>
        </w:rPr>
        <w:t>The Berezin integral ∫ d</w:t>
      </w:r>
      <w:r>
        <w:rPr>
          <w:i/>
          <w:iCs/>
          <w:sz w:val="22"/>
          <w:szCs w:val="22"/>
        </w:rPr>
        <w:t>θ</w:t>
      </w:r>
      <w:r>
        <w:rPr>
          <w:sz w:val="22"/>
          <w:szCs w:val="22"/>
        </w:rPr>
        <w:t xml:space="preserve"> is defined by the single rule that it returns the coefficient of the top‑degree monomial </w:t>
      </w:r>
      <w:r>
        <w:rPr>
          <w:i/>
          <w:iCs/>
          <w:sz w:val="22"/>
          <w:szCs w:val="22"/>
        </w:rPr>
        <w:t>θ</w:t>
      </w:r>
      <w:r>
        <w:rPr>
          <w:sz w:val="22"/>
          <w:szCs w:val="22"/>
        </w:rPr>
        <w:t>¹</w:t>
      </w:r>
      <w:r>
        <w:rPr>
          <w:i/>
          <w:iCs/>
          <w:sz w:val="22"/>
          <w:szCs w:val="22"/>
        </w:rPr>
        <w:t>θ</w:t>
      </w:r>
      <w:r>
        <w:rPr>
          <w:sz w:val="22"/>
          <w:szCs w:val="22"/>
        </w:rPr>
        <w:t>²⋯</w:t>
      </w:r>
      <w:r>
        <w:rPr>
          <w:i/>
          <w:iCs/>
          <w:sz w:val="22"/>
          <w:szCs w:val="22"/>
        </w:rPr>
        <w:t>θ</w:t>
      </w:r>
      <w:r>
        <w:rPr>
          <w:sz w:val="22"/>
          <w:szCs w:val="22"/>
          <w:vertAlign w:val="superscript"/>
        </w:rPr>
        <w:t>2</w:t>
      </w:r>
      <w:r>
        <w:rPr>
          <w:i/>
          <w:iCs/>
          <w:sz w:val="22"/>
          <w:szCs w:val="22"/>
          <w:vertAlign w:val="superscript"/>
        </w:rPr>
        <w:t>n</w:t>
      </w:r>
      <w:r>
        <w:rPr>
          <w:sz w:val="22"/>
          <w:szCs w:val="22"/>
        </w:rPr>
        <w:t xml:space="preserve"> and annihilates everything else. Form the quadratic Grassmann element built from the intersection form</w:t>
      </w:r>
    </w:p>
    <w:p w14:paraId="7BE6608F" w14:textId="77777777" w:rsidR="00F1709B" w:rsidRDefault="00000000">
      <w:pPr>
        <w:spacing w:before="80" w:after="160"/>
        <w:jc w:val="center"/>
        <w:rPr>
          <w:i/>
          <w:iCs/>
          <w:sz w:val="22"/>
          <w:szCs w:val="22"/>
        </w:rPr>
      </w:pPr>
      <w:r>
        <w:rPr>
          <w:i/>
          <w:iCs/>
          <w:sz w:val="22"/>
          <w:szCs w:val="22"/>
        </w:rPr>
        <w:t xml:space="preserve">ω = </w:t>
      </w:r>
      <w:r>
        <w:rPr>
          <w:sz w:val="22"/>
          <w:szCs w:val="22"/>
        </w:rPr>
        <w:t xml:space="preserve">½ </w:t>
      </w:r>
      <w:r>
        <w:rPr>
          <w:i/>
          <w:iCs/>
          <w:sz w:val="22"/>
          <w:szCs w:val="22"/>
        </w:rPr>
        <w:t>Σ</w:t>
      </w:r>
      <w:r>
        <w:rPr>
          <w:i/>
          <w:iCs/>
          <w:sz w:val="22"/>
          <w:szCs w:val="22"/>
          <w:vertAlign w:val="subscript"/>
        </w:rPr>
        <w:t>i,j</w:t>
      </w:r>
      <w:r>
        <w:rPr>
          <w:i/>
          <w:iCs/>
          <w:sz w:val="22"/>
          <w:szCs w:val="22"/>
        </w:rPr>
        <w:t xml:space="preserve"> ω</w:t>
      </w:r>
      <w:r>
        <w:rPr>
          <w:i/>
          <w:iCs/>
          <w:sz w:val="22"/>
          <w:szCs w:val="22"/>
          <w:vertAlign w:val="subscript"/>
        </w:rPr>
        <w:t>ij</w:t>
      </w:r>
      <w:r>
        <w:rPr>
          <w:i/>
          <w:iCs/>
          <w:sz w:val="22"/>
          <w:szCs w:val="22"/>
        </w:rPr>
        <w:t xml:space="preserve"> θⁱ θʲ.</w:t>
      </w:r>
    </w:p>
    <w:p w14:paraId="50134C81" w14:textId="77777777" w:rsidR="00F1709B" w:rsidRDefault="00000000">
      <w:pPr>
        <w:spacing w:after="160" w:line="276" w:lineRule="auto"/>
        <w:jc w:val="both"/>
        <w:rPr>
          <w:sz w:val="22"/>
          <w:szCs w:val="22"/>
        </w:rPr>
      </w:pPr>
      <w:r>
        <w:rPr>
          <w:sz w:val="22"/>
          <w:szCs w:val="22"/>
        </w:rPr>
        <w:t>The fundamental identity of Berezin calculus states that the Berezin integral of the exponential of ω returns the Pfaffian of the intersection form:</w:t>
      </w:r>
    </w:p>
    <w:p w14:paraId="0F6AC2C3" w14:textId="77777777" w:rsidR="00F1709B" w:rsidRDefault="00000000">
      <w:pPr>
        <w:spacing w:before="80" w:after="160"/>
        <w:jc w:val="center"/>
        <w:rPr>
          <w:i/>
          <w:iCs/>
          <w:sz w:val="22"/>
          <w:szCs w:val="22"/>
        </w:rPr>
      </w:pPr>
      <w:r>
        <w:rPr>
          <w:i/>
          <w:iCs/>
          <w:sz w:val="22"/>
          <w:szCs w:val="22"/>
        </w:rPr>
        <w:t xml:space="preserve">∫ </w:t>
      </w:r>
      <w:r>
        <w:rPr>
          <w:sz w:val="22"/>
          <w:szCs w:val="22"/>
        </w:rPr>
        <w:t>exp(</w:t>
      </w:r>
      <w:r>
        <w:rPr>
          <w:i/>
          <w:iCs/>
          <w:sz w:val="22"/>
          <w:szCs w:val="22"/>
        </w:rPr>
        <w:t>ω</w:t>
      </w:r>
      <w:r>
        <w:rPr>
          <w:sz w:val="22"/>
          <w:szCs w:val="22"/>
        </w:rPr>
        <w:t>)</w:t>
      </w:r>
      <w:r>
        <w:rPr>
          <w:i/>
          <w:iCs/>
          <w:sz w:val="22"/>
          <w:szCs w:val="22"/>
        </w:rPr>
        <w:t xml:space="preserve"> θ¹⋯θ</w:t>
      </w:r>
      <w:r>
        <w:rPr>
          <w:i/>
          <w:iCs/>
          <w:sz w:val="22"/>
          <w:szCs w:val="22"/>
          <w:vertAlign w:val="superscript"/>
        </w:rPr>
        <w:t>2n</w:t>
      </w:r>
      <w:r>
        <w:rPr>
          <w:i/>
          <w:iCs/>
          <w:sz w:val="22"/>
          <w:szCs w:val="22"/>
        </w:rPr>
        <w:t xml:space="preserve"> dθ  =  Pf(Ω</w:t>
      </w:r>
      <w:r>
        <w:rPr>
          <w:sz w:val="22"/>
          <w:szCs w:val="22"/>
          <w:vertAlign w:val="subscript"/>
        </w:rPr>
        <w:t>p</w:t>
      </w:r>
      <w:r>
        <w:rPr>
          <w:i/>
          <w:iCs/>
          <w:sz w:val="22"/>
          <w:szCs w:val="22"/>
        </w:rPr>
        <w:t>).</w:t>
      </w:r>
    </w:p>
    <w:p w14:paraId="0DBE7AC6" w14:textId="77777777" w:rsidR="00F1709B" w:rsidRDefault="00000000">
      <w:pPr>
        <w:spacing w:after="160" w:line="276" w:lineRule="auto"/>
        <w:jc w:val="both"/>
        <w:rPr>
          <w:sz w:val="22"/>
          <w:szCs w:val="22"/>
        </w:rPr>
      </w:pPr>
      <w:r>
        <w:rPr>
          <w:sz w:val="22"/>
          <w:szCs w:val="22"/>
        </w:rPr>
        <w:t>The Pfaffian Pf(Ω_p) is the unique polynomial in the entries ω</w:t>
      </w:r>
      <w:r>
        <w:rPr>
          <w:sz w:val="22"/>
          <w:szCs w:val="22"/>
          <w:vertAlign w:val="subscript"/>
        </w:rPr>
        <w:t>ij</w:t>
      </w:r>
      <w:r>
        <w:rPr>
          <w:sz w:val="22"/>
          <w:szCs w:val="22"/>
        </w:rPr>
        <w:t xml:space="preserve"> satisfying</w:t>
      </w:r>
    </w:p>
    <w:p w14:paraId="5F78BFCA" w14:textId="77777777" w:rsidR="00F1709B" w:rsidRDefault="00000000">
      <w:pPr>
        <w:spacing w:before="80" w:after="160"/>
        <w:jc w:val="center"/>
        <w:rPr>
          <w:i/>
          <w:iCs/>
          <w:sz w:val="22"/>
          <w:szCs w:val="22"/>
        </w:rPr>
      </w:pPr>
      <w:r>
        <w:rPr>
          <w:i/>
          <w:iCs/>
          <w:sz w:val="22"/>
          <w:szCs w:val="22"/>
        </w:rPr>
        <w:t>Pf(Ωp)² = det(Ωp) (Knuth, 1996),</w:t>
      </w:r>
    </w:p>
    <w:p w14:paraId="36629BA0" w14:textId="77777777" w:rsidR="00F1709B" w:rsidRDefault="00000000">
      <w:pPr>
        <w:spacing w:after="160" w:line="276" w:lineRule="auto"/>
        <w:jc w:val="both"/>
        <w:rPr>
          <w:sz w:val="22"/>
          <w:szCs w:val="22"/>
        </w:rPr>
      </w:pPr>
      <w:r>
        <w:rPr>
          <w:sz w:val="22"/>
          <w:szCs w:val="22"/>
        </w:rPr>
        <w:t>with the sign fixed by the orientation of the symplectic frame. For the block‑diagonal normal form Ω</w:t>
      </w:r>
      <w:r>
        <w:rPr>
          <w:sz w:val="22"/>
          <w:szCs w:val="22"/>
          <w:vertAlign w:val="subscript"/>
        </w:rPr>
        <w:t xml:space="preserve">p </w:t>
      </w:r>
      <w:r>
        <w:rPr>
          <w:sz w:val="22"/>
          <w:szCs w:val="22"/>
        </w:rPr>
        <w:t>= diag( J₁, …, J</w:t>
      </w:r>
      <w:r>
        <w:rPr>
          <w:i/>
          <w:iCs/>
          <w:sz w:val="22"/>
          <w:szCs w:val="22"/>
          <w:vertAlign w:val="subscript"/>
        </w:rPr>
        <w:t>n</w:t>
      </w:r>
      <w:r>
        <w:rPr>
          <w:i/>
          <w:iCs/>
          <w:sz w:val="22"/>
          <w:szCs w:val="22"/>
        </w:rPr>
        <w:t xml:space="preserve"> </w:t>
      </w:r>
      <w:r>
        <w:rPr>
          <w:sz w:val="22"/>
          <w:szCs w:val="22"/>
        </w:rPr>
        <w:t>), where each J</w:t>
      </w:r>
      <w:r>
        <w:rPr>
          <w:sz w:val="22"/>
          <w:szCs w:val="22"/>
          <w:vertAlign w:val="subscript"/>
        </w:rPr>
        <w:t>k</w:t>
      </w:r>
      <w:r>
        <w:rPr>
          <w:sz w:val="22"/>
          <w:szCs w:val="22"/>
        </w:rPr>
        <w:t xml:space="preserve"> = [[0, </w:t>
      </w:r>
      <w:r>
        <w:rPr>
          <w:i/>
          <w:iCs/>
          <w:sz w:val="22"/>
          <w:szCs w:val="22"/>
        </w:rPr>
        <w:t>λ_k</w:t>
      </w:r>
      <w:r>
        <w:rPr>
          <w:sz w:val="22"/>
          <w:szCs w:val="22"/>
        </w:rPr>
        <w:t>], [−</w:t>
      </w:r>
      <w:r>
        <w:rPr>
          <w:i/>
          <w:iCs/>
          <w:sz w:val="22"/>
          <w:szCs w:val="22"/>
        </w:rPr>
        <w:t>λ_k</w:t>
      </w:r>
      <w:r>
        <w:rPr>
          <w:sz w:val="22"/>
          <w:szCs w:val="22"/>
        </w:rPr>
        <w:t>, 0]] is a two‑dimensional symplectic block with eigenvalue pair ±iλ_k, the Pfaffian is the product of the block parameters:</w:t>
      </w:r>
    </w:p>
    <w:p w14:paraId="7FF90A89" w14:textId="77777777" w:rsidR="00F1709B" w:rsidRDefault="00000000">
      <w:pPr>
        <w:spacing w:before="80" w:after="160"/>
        <w:jc w:val="center"/>
        <w:rPr>
          <w:i/>
          <w:iCs/>
          <w:sz w:val="22"/>
          <w:szCs w:val="22"/>
        </w:rPr>
      </w:pPr>
      <w:r>
        <w:rPr>
          <w:i/>
          <w:iCs/>
          <w:sz w:val="22"/>
          <w:szCs w:val="22"/>
        </w:rPr>
        <w:t>Pf</w:t>
      </w:r>
      <w:r>
        <w:rPr>
          <w:sz w:val="22"/>
          <w:szCs w:val="22"/>
        </w:rPr>
        <w:t>(Ω</w:t>
      </w:r>
      <w:r>
        <w:rPr>
          <w:i/>
          <w:iCs/>
          <w:sz w:val="22"/>
          <w:szCs w:val="22"/>
          <w:vertAlign w:val="subscript"/>
        </w:rPr>
        <w:t>p</w:t>
      </w:r>
      <w:r>
        <w:rPr>
          <w:i/>
          <w:iCs/>
          <w:sz w:val="22"/>
          <w:szCs w:val="22"/>
        </w:rPr>
        <w:t>) = λ₁ λ₂ ⋯ λ</w:t>
      </w:r>
      <w:r>
        <w:rPr>
          <w:i/>
          <w:iCs/>
          <w:sz w:val="22"/>
          <w:szCs w:val="22"/>
          <w:vertAlign w:val="subscript"/>
        </w:rPr>
        <w:t>n</w:t>
      </w:r>
      <w:r>
        <w:rPr>
          <w:i/>
          <w:iCs/>
          <w:sz w:val="22"/>
          <w:szCs w:val="22"/>
        </w:rPr>
        <w:t>.</w:t>
      </w:r>
    </w:p>
    <w:p w14:paraId="10161991" w14:textId="77777777" w:rsidR="00F1709B" w:rsidRDefault="00000000">
      <w:pPr>
        <w:spacing w:after="160" w:line="276" w:lineRule="auto"/>
        <w:jc w:val="both"/>
        <w:rPr>
          <w:sz w:val="22"/>
          <w:szCs w:val="22"/>
        </w:rPr>
      </w:pPr>
      <w:r>
        <w:rPr>
          <w:sz w:val="22"/>
          <w:szCs w:val="22"/>
        </w:rPr>
        <w:t xml:space="preserve">This product is the quantity that the entity collapse drives to zero. It is the natural scalar invariant of the intersection form, of degree n in the matrix entries, and it changes sign under reversal of symplectic </w:t>
      </w:r>
      <w:r>
        <w:rPr>
          <w:sz w:val="22"/>
          <w:szCs w:val="22"/>
        </w:rPr>
        <w:lastRenderedPageBreak/>
        <w:t>orientation. The determinant cannot play this role: det(Ω</w:t>
      </w:r>
      <w:r>
        <w:rPr>
          <w:sz w:val="22"/>
          <w:szCs w:val="22"/>
          <w:vertAlign w:val="subscript"/>
        </w:rPr>
        <w:t>p</w:t>
      </w:r>
      <w:r>
        <w:rPr>
          <w:sz w:val="22"/>
          <w:szCs w:val="22"/>
        </w:rPr>
        <w:t>) = (</w:t>
      </w:r>
      <w:r>
        <w:rPr>
          <w:i/>
          <w:iCs/>
          <w:sz w:val="22"/>
          <w:szCs w:val="22"/>
        </w:rPr>
        <w:t>λ₁⋯λ</w:t>
      </w:r>
      <w:r>
        <w:rPr>
          <w:sz w:val="22"/>
          <w:szCs w:val="22"/>
          <w:vertAlign w:val="subscript"/>
        </w:rPr>
        <w:t>n</w:t>
      </w:r>
      <w:r>
        <w:rPr>
          <w:sz w:val="22"/>
          <w:szCs w:val="22"/>
        </w:rPr>
        <w:t>)² is a perfect square and therefore loses the sign information that the monodromy reset of step three requires.</w:t>
      </w:r>
    </w:p>
    <w:p w14:paraId="3ADF8374" w14:textId="77777777" w:rsidR="00F1709B" w:rsidRDefault="00000000">
      <w:pPr>
        <w:spacing w:before="200" w:after="80"/>
        <w:rPr>
          <w:b/>
          <w:bCs/>
          <w:sz w:val="22"/>
          <w:szCs w:val="22"/>
        </w:rPr>
      </w:pPr>
      <w:r>
        <w:rPr>
          <w:b/>
          <w:bCs/>
          <w:sz w:val="22"/>
          <w:szCs w:val="22"/>
        </w:rPr>
        <w:t>B.3  The Entity Collapse Defined</w:t>
      </w:r>
    </w:p>
    <w:p w14:paraId="2BC2C053" w14:textId="77777777" w:rsidR="00F1709B" w:rsidRDefault="00000000">
      <w:pPr>
        <w:spacing w:after="160" w:line="276" w:lineRule="auto"/>
        <w:jc w:val="both"/>
        <w:rPr>
          <w:sz w:val="22"/>
          <w:szCs w:val="22"/>
        </w:rPr>
      </w:pPr>
      <w:r>
        <w:rPr>
          <w:sz w:val="22"/>
          <w:szCs w:val="22"/>
        </w:rPr>
        <w:t>The Berezin–Pfaffian entity collapse is now defined precisely.</w:t>
      </w:r>
    </w:p>
    <w:p w14:paraId="6958F90E" w14:textId="77777777" w:rsidR="00E848DF" w:rsidRDefault="00000000">
      <w:pPr>
        <w:spacing w:after="160" w:line="276" w:lineRule="auto"/>
        <w:jc w:val="both"/>
        <w:rPr>
          <w:b/>
          <w:bCs/>
          <w:sz w:val="22"/>
          <w:szCs w:val="22"/>
        </w:rPr>
      </w:pPr>
      <w:r>
        <w:rPr>
          <w:b/>
          <w:bCs/>
          <w:sz w:val="22"/>
          <w:szCs w:val="22"/>
        </w:rPr>
        <w:t xml:space="preserve">Definition B.1 (Berezin–Pfaffian entity collapse).  </w:t>
      </w:r>
    </w:p>
    <w:p w14:paraId="1557842D" w14:textId="77777777" w:rsidR="00E848DF" w:rsidRPr="00E848DF" w:rsidRDefault="00E848DF" w:rsidP="00E848DF">
      <w:pPr>
        <w:spacing w:after="160" w:line="276" w:lineRule="auto"/>
        <w:jc w:val="both"/>
        <w:rPr>
          <w:sz w:val="22"/>
          <w:szCs w:val="22"/>
        </w:rPr>
      </w:pPr>
      <w:r>
        <w:rPr>
          <w:sz w:val="22"/>
          <w:szCs w:val="22"/>
        </w:rPr>
        <w:t xml:space="preserve">Let </w:t>
      </w:r>
      <m:oMath>
        <m:r>
          <w:rPr>
            <w:rFonts w:ascii="Cambria Math" w:hAnsi="Cambria Math"/>
            <w:sz w:val="22"/>
            <w:szCs w:val="22"/>
          </w:rPr>
          <m:t>t↦</m:t>
        </m:r>
        <m:sSub>
          <m:sSubPr>
            <m:ctrlPr>
              <w:rPr>
                <w:rFonts w:ascii="Cambria Math" w:hAnsi="Cambria Math"/>
                <w:sz w:val="22"/>
                <w:szCs w:val="22"/>
              </w:rPr>
            </m:ctrlPr>
          </m:sSubPr>
          <m:e>
            <m:r>
              <m:rPr>
                <m:sty m:val="p"/>
              </m:rPr>
              <w:rPr>
                <w:rFonts w:ascii="Cambria Math" w:hAnsi="Cambria Math"/>
                <w:sz w:val="22"/>
                <w:szCs w:val="22"/>
              </w:rPr>
              <m:t>Ω</m:t>
            </m:r>
          </m:e>
          <m:sub>
            <m:r>
              <w:rPr>
                <w:rFonts w:ascii="Cambria Math" w:hAnsi="Cambria Math"/>
                <w:sz w:val="22"/>
                <w:szCs w:val="22"/>
              </w:rPr>
              <m:t>p</m:t>
            </m:r>
          </m:sub>
        </m:sSub>
        <m:r>
          <w:rPr>
            <w:rFonts w:ascii="Cambria Math" w:hAnsi="Cambria Math"/>
            <w:sz w:val="22"/>
            <w:szCs w:val="22"/>
          </w:rPr>
          <m:t>(t)</m:t>
        </m:r>
      </m:oMath>
      <w:r>
        <w:rPr>
          <w:sz w:val="22"/>
          <w:szCs w:val="22"/>
        </w:rPr>
        <w:t>be the one</w:t>
      </w:r>
      <w:r>
        <w:rPr>
          <w:sz w:val="22"/>
          <w:szCs w:val="22"/>
        </w:rPr>
        <w:noBreakHyphen/>
        <w:t xml:space="preserve">parameter family of intersection forms obtained as the operative geometry flows under the Łojasiewicz rigidity lock of CPC step one, with </w:t>
      </w:r>
      <m:oMath>
        <m:r>
          <w:rPr>
            <w:rFonts w:ascii="Cambria Math" w:hAnsi="Cambria Math"/>
            <w:sz w:val="22"/>
            <w:szCs w:val="22"/>
          </w:rPr>
          <m:t>t</m:t>
        </m:r>
      </m:oMath>
      <w:r>
        <w:rPr>
          <w:sz w:val="22"/>
          <w:szCs w:val="22"/>
        </w:rPr>
        <w:t xml:space="preserve">the flow parameter and </w:t>
      </w:r>
      <m:oMath>
        <m:r>
          <w:rPr>
            <w:rFonts w:ascii="Cambria Math" w:hAnsi="Cambria Math"/>
            <w:sz w:val="22"/>
            <w:szCs w:val="22"/>
          </w:rPr>
          <m:t>t→</m:t>
        </m:r>
        <m:sSup>
          <m:sSupPr>
            <m:ctrlPr>
              <w:rPr>
                <w:rFonts w:ascii="Cambria Math" w:hAnsi="Cambria Math"/>
                <w:sz w:val="22"/>
                <w:szCs w:val="22"/>
              </w:rPr>
            </m:ctrlPr>
          </m:sSupPr>
          <m:e>
            <m:r>
              <w:rPr>
                <w:rFonts w:ascii="Cambria Math" w:hAnsi="Cambria Math"/>
                <w:sz w:val="22"/>
                <w:szCs w:val="22"/>
              </w:rPr>
              <m:t>0</m:t>
            </m:r>
          </m:e>
          <m:sup>
            <m:r>
              <w:rPr>
                <w:rFonts w:ascii="Cambria Math" w:hAnsi="Cambria Math"/>
                <w:sz w:val="22"/>
                <w:szCs w:val="22"/>
              </w:rPr>
              <m:t>-</m:t>
            </m:r>
          </m:sup>
        </m:sSup>
      </m:oMath>
      <w:r>
        <w:rPr>
          <w:sz w:val="22"/>
          <w:szCs w:val="22"/>
        </w:rPr>
        <w:t xml:space="preserve">the approach to the singular fibre. The entity is the algebraic cycle represented by the top Grassmann monomial </w:t>
      </w:r>
      <m:oMath>
        <m:sSup>
          <m:sSupPr>
            <m:ctrlPr>
              <w:rPr>
                <w:rFonts w:ascii="Cambria Math" w:hAnsi="Cambria Math"/>
                <w:sz w:val="22"/>
                <w:szCs w:val="22"/>
              </w:rPr>
            </m:ctrlPr>
          </m:sSupPr>
          <m:e>
            <m:r>
              <w:rPr>
                <w:rFonts w:ascii="Cambria Math" w:hAnsi="Cambria Math"/>
                <w:sz w:val="22"/>
                <w:szCs w:val="22"/>
              </w:rPr>
              <m:t>θ</m:t>
            </m:r>
          </m:e>
          <m:sup>
            <m:r>
              <w:rPr>
                <w:rFonts w:ascii="Cambria Math" w:hAnsi="Cambria Math"/>
                <w:sz w:val="22"/>
                <w:szCs w:val="22"/>
              </w:rPr>
              <m:t>1</m:t>
            </m:r>
          </m:sup>
        </m:sSup>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θ</m:t>
            </m:r>
          </m:e>
          <m:sup>
            <m:r>
              <w:rPr>
                <w:rFonts w:ascii="Cambria Math" w:hAnsi="Cambria Math"/>
                <w:sz w:val="22"/>
                <w:szCs w:val="22"/>
              </w:rPr>
              <m:t>2n</m:t>
            </m:r>
          </m:sup>
        </m:sSup>
      </m:oMath>
      <w:r>
        <w:rPr>
          <w:sz w:val="22"/>
          <w:szCs w:val="22"/>
        </w:rPr>
        <w:t xml:space="preserve">, weighted by </w:t>
      </w:r>
      <m:oMath>
        <m:r>
          <m:rPr>
            <m:sty m:val="p"/>
          </m:rPr>
          <w:rPr>
            <w:rFonts w:ascii="Cambria Math" w:hAnsi="Cambria Math"/>
            <w:sz w:val="22"/>
            <w:szCs w:val="22"/>
          </w:rPr>
          <m:t>Pf</m:t>
        </m:r>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Ω</m:t>
            </m:r>
          </m:e>
          <m:sub>
            <m:r>
              <w:rPr>
                <w:rFonts w:ascii="Cambria Math" w:hAnsi="Cambria Math"/>
                <w:sz w:val="22"/>
                <w:szCs w:val="22"/>
              </w:rPr>
              <m:t>p</m:t>
            </m:r>
          </m:sub>
        </m:sSub>
        <m:r>
          <w:rPr>
            <w:rFonts w:ascii="Cambria Math" w:hAnsi="Cambria Math"/>
            <w:sz w:val="22"/>
            <w:szCs w:val="22"/>
          </w:rPr>
          <m:t>(t))</m:t>
        </m:r>
      </m:oMath>
      <w:r>
        <w:rPr>
          <w:sz w:val="22"/>
          <w:szCs w:val="22"/>
        </w:rPr>
        <w:t>. The collapse is the event</w:t>
      </w:r>
    </w:p>
    <w:p w14:paraId="59767003" w14:textId="77777777" w:rsidR="00E848DF" w:rsidRPr="00E848DF" w:rsidRDefault="00E848DF" w:rsidP="00E848DF">
      <w:pPr>
        <w:spacing w:after="160" w:line="276" w:lineRule="auto"/>
        <w:jc w:val="both"/>
        <w:rPr>
          <w:sz w:val="22"/>
          <w:szCs w:val="22"/>
        </w:rPr>
      </w:pPr>
      <m:oMathPara>
        <m:oMath>
          <m:r>
            <m:rPr>
              <m:sty m:val="p"/>
            </m:rPr>
            <w:rPr>
              <w:rFonts w:ascii="Cambria Math" w:hAnsi="Cambria Math"/>
              <w:sz w:val="22"/>
              <w:szCs w:val="22"/>
            </w:rPr>
            <m:t>Pf</m:t>
          </m:r>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Ω</m:t>
              </m:r>
            </m:e>
            <m:sub>
              <m:r>
                <w:rPr>
                  <w:rFonts w:ascii="Cambria Math" w:hAnsi="Cambria Math"/>
                  <w:sz w:val="22"/>
                  <w:szCs w:val="22"/>
                </w:rPr>
                <m:t>p</m:t>
              </m:r>
            </m:sub>
          </m:sSub>
          <m:r>
            <w:rPr>
              <w:rFonts w:ascii="Cambria Math" w:hAnsi="Cambria Math"/>
              <w:sz w:val="22"/>
              <w:szCs w:val="22"/>
            </w:rPr>
            <m:t>(t))</m:t>
          </m:r>
          <m:r>
            <m:rPr>
              <m:nor/>
            </m:rPr>
            <w:rPr>
              <w:sz w:val="22"/>
              <w:szCs w:val="22"/>
            </w:rPr>
            <m:t>  </m:t>
          </m:r>
          <m:r>
            <w:rPr>
              <w:rFonts w:ascii="Cambria Math" w:hAnsi="Cambria Math"/>
              <w:sz w:val="22"/>
              <w:szCs w:val="22"/>
            </w:rPr>
            <m:t>⟶</m:t>
          </m:r>
          <m:r>
            <m:rPr>
              <m:nor/>
            </m:rPr>
            <w:rPr>
              <w:sz w:val="22"/>
              <w:szCs w:val="22"/>
            </w:rPr>
            <m:t>  </m:t>
          </m:r>
          <m:r>
            <w:rPr>
              <w:rFonts w:ascii="Cambria Math" w:hAnsi="Cambria Math"/>
              <w:sz w:val="22"/>
              <w:szCs w:val="22"/>
            </w:rPr>
            <m:t>0</m:t>
          </m:r>
          <m:r>
            <m:rPr>
              <m:nor/>
            </m:rPr>
            <w:rPr>
              <w:sz w:val="22"/>
              <w:szCs w:val="22"/>
            </w:rPr>
            <m:t>as </m:t>
          </m:r>
          <m:r>
            <w:rPr>
              <w:rFonts w:ascii="Cambria Math" w:hAnsi="Cambria Math"/>
              <w:sz w:val="22"/>
              <w:szCs w:val="22"/>
            </w:rPr>
            <m:t>t→</m:t>
          </m:r>
          <m:sSup>
            <m:sSupPr>
              <m:ctrlPr>
                <w:rPr>
                  <w:rFonts w:ascii="Cambria Math" w:hAnsi="Cambria Math"/>
                  <w:sz w:val="22"/>
                  <w:szCs w:val="22"/>
                </w:rPr>
              </m:ctrlPr>
            </m:sSupPr>
            <m:e>
              <m:r>
                <w:rPr>
                  <w:rFonts w:ascii="Cambria Math" w:hAnsi="Cambria Math"/>
                  <w:sz w:val="22"/>
                  <w:szCs w:val="22"/>
                </w:rPr>
                <m:t>0</m:t>
              </m:r>
            </m:e>
            <m:sup>
              <m:r>
                <w:rPr>
                  <w:rFonts w:ascii="Cambria Math" w:hAnsi="Cambria Math"/>
                  <w:sz w:val="22"/>
                  <w:szCs w:val="22"/>
                </w:rPr>
                <m:t>-</m:t>
              </m:r>
            </m:sup>
          </m:sSup>
          <m:r>
            <w:rPr>
              <w:rFonts w:ascii="Cambria Math" w:hAnsi="Cambria Math"/>
              <w:sz w:val="22"/>
              <w:szCs w:val="22"/>
            </w:rPr>
            <m:t>,</m:t>
          </m:r>
        </m:oMath>
      </m:oMathPara>
    </w:p>
    <w:p w14:paraId="2FB40FBD" w14:textId="77777777" w:rsidR="00E848DF" w:rsidRPr="00E848DF" w:rsidRDefault="00E848DF" w:rsidP="00E848DF">
      <w:pPr>
        <w:spacing w:after="160" w:line="276" w:lineRule="auto"/>
        <w:jc w:val="both"/>
        <w:rPr>
          <w:sz w:val="22"/>
          <w:szCs w:val="22"/>
        </w:rPr>
      </w:pPr>
      <w:r>
        <w:rPr>
          <w:sz w:val="22"/>
          <w:szCs w:val="22"/>
        </w:rPr>
        <w:t>that is, the vanishing of the Pfaffian of the intersection form along the rigidity flow. Equivalently, by the Berezin identity, the collapse is the vanishing of the Berezin integral</w:t>
      </w:r>
    </w:p>
    <w:p w14:paraId="29CC87AC" w14:textId="77777777" w:rsidR="00E848DF" w:rsidRPr="00E848DF" w:rsidRDefault="00E848DF" w:rsidP="00E848DF">
      <w:pPr>
        <w:spacing w:after="160" w:line="276" w:lineRule="auto"/>
        <w:jc w:val="both"/>
        <w:rPr>
          <w:sz w:val="22"/>
          <w:szCs w:val="22"/>
        </w:rPr>
      </w:pPr>
      <m:oMathPara>
        <m:oMath>
          <m:r>
            <w:rPr>
              <w:rFonts w:ascii="Cambria Math" w:hAnsi="Cambria Math"/>
              <w:sz w:val="22"/>
              <w:szCs w:val="22"/>
            </w:rPr>
            <m:t>∫</m:t>
          </m:r>
          <m:r>
            <m:rPr>
              <m:sty m:val="p"/>
            </m:rPr>
            <w:rPr>
              <w:rFonts w:ascii="Cambria Math" w:hAnsi="Cambria Math"/>
              <w:sz w:val="22"/>
              <w:szCs w:val="22"/>
            </w:rPr>
            <m:t>exp</m:t>
          </m:r>
          <m:r>
            <w:rPr>
              <w:rFonts w:ascii="Cambria Math" w:hAnsi="Cambria Math"/>
              <w:sz w:val="22"/>
              <w:szCs w:val="22"/>
            </w:rPr>
            <m:t>⁡(ω(t))</m:t>
          </m:r>
          <m:r>
            <m:rPr>
              <m:nor/>
            </m:rPr>
            <w:rPr>
              <w:sz w:val="22"/>
              <w:szCs w:val="22"/>
            </w:rPr>
            <m:t> </m:t>
          </m:r>
          <m:sSup>
            <m:sSupPr>
              <m:ctrlPr>
                <w:rPr>
                  <w:rFonts w:ascii="Cambria Math" w:hAnsi="Cambria Math"/>
                  <w:sz w:val="22"/>
                  <w:szCs w:val="22"/>
                </w:rPr>
              </m:ctrlPr>
            </m:sSupPr>
            <m:e>
              <m:r>
                <w:rPr>
                  <w:rFonts w:ascii="Cambria Math" w:hAnsi="Cambria Math"/>
                  <w:sz w:val="22"/>
                  <w:szCs w:val="22"/>
                </w:rPr>
                <m:t>θ</m:t>
              </m:r>
            </m:e>
            <m:sup>
              <m:r>
                <w:rPr>
                  <w:rFonts w:ascii="Cambria Math" w:hAnsi="Cambria Math"/>
                  <w:sz w:val="22"/>
                  <w:szCs w:val="22"/>
                </w:rPr>
                <m:t>1</m:t>
              </m:r>
            </m:sup>
          </m:sSup>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θ</m:t>
              </m:r>
            </m:e>
            <m:sup>
              <m:r>
                <w:rPr>
                  <w:rFonts w:ascii="Cambria Math" w:hAnsi="Cambria Math"/>
                  <w:sz w:val="22"/>
                  <w:szCs w:val="22"/>
                </w:rPr>
                <m:t>2n</m:t>
              </m:r>
            </m:sup>
          </m:sSup>
          <m:r>
            <m:rPr>
              <m:nor/>
            </m:rPr>
            <w:rPr>
              <w:sz w:val="22"/>
              <w:szCs w:val="22"/>
            </w:rPr>
            <m:t> </m:t>
          </m:r>
          <m:r>
            <w:rPr>
              <w:rFonts w:ascii="Cambria Math" w:hAnsi="Cambria Math"/>
              <w:sz w:val="22"/>
              <w:szCs w:val="22"/>
            </w:rPr>
            <m:t>dθ</m:t>
          </m:r>
          <m:r>
            <m:rPr>
              <m:sty m:val="p"/>
            </m:rPr>
            <w:rPr>
              <w:rFonts w:ascii="Cambria Math" w:hAnsi="Cambria Math"/>
              <w:sz w:val="22"/>
              <w:szCs w:val="22"/>
            </w:rPr>
            <m:t>.</m:t>
          </m:r>
        </m:oMath>
      </m:oMathPara>
    </w:p>
    <w:p w14:paraId="267DAC4D" w14:textId="77777777" w:rsidR="00E848DF" w:rsidRPr="00E848DF" w:rsidRDefault="00E848DF" w:rsidP="00E848DF">
      <w:pPr>
        <w:spacing w:after="160" w:line="276" w:lineRule="auto"/>
        <w:jc w:val="both"/>
        <w:rPr>
          <w:sz w:val="22"/>
          <w:szCs w:val="22"/>
        </w:rPr>
      </w:pPr>
      <w:r>
        <w:rPr>
          <w:sz w:val="22"/>
          <w:szCs w:val="22"/>
        </w:rPr>
        <w:t xml:space="preserve">The collapse condition </w:t>
      </w:r>
      <m:oMath>
        <m:r>
          <m:rPr>
            <m:sty m:val="p"/>
          </m:rPr>
          <w:rPr>
            <w:rFonts w:ascii="Cambria Math" w:hAnsi="Cambria Math"/>
            <w:sz w:val="22"/>
            <w:szCs w:val="22"/>
          </w:rPr>
          <m:t>Pf</m:t>
        </m:r>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Ω</m:t>
            </m:r>
          </m:e>
          <m:sub>
            <m:r>
              <w:rPr>
                <w:rFonts w:ascii="Cambria Math" w:hAnsi="Cambria Math"/>
                <w:sz w:val="22"/>
                <w:szCs w:val="22"/>
              </w:rPr>
              <m:t>p</m:t>
            </m:r>
          </m:sub>
        </m:sSub>
        <m:r>
          <w:rPr>
            <w:rFonts w:ascii="Cambria Math" w:hAnsi="Cambria Math"/>
            <w:sz w:val="22"/>
            <w:szCs w:val="22"/>
          </w:rPr>
          <m:t>)=0</m:t>
        </m:r>
      </m:oMath>
      <w:r>
        <w:rPr>
          <w:sz w:val="22"/>
          <w:szCs w:val="22"/>
        </w:rPr>
        <w:t xml:space="preserve">is strictly stronger than metric degeneration. The Fisher–Rao metric </w:t>
      </w:r>
      <m:oMath>
        <m:r>
          <w:rPr>
            <w:rFonts w:ascii="Cambria Math" w:hAnsi="Cambria Math"/>
            <w:sz w:val="22"/>
            <w:szCs w:val="22"/>
          </w:rPr>
          <m:t>g</m:t>
        </m:r>
      </m:oMath>
      <w:r>
        <w:rPr>
          <w:sz w:val="22"/>
          <w:szCs w:val="22"/>
        </w:rPr>
        <w:t>may remain non</w:t>
      </w:r>
      <w:r>
        <w:rPr>
          <w:sz w:val="22"/>
          <w:szCs w:val="22"/>
        </w:rPr>
        <w:noBreakHyphen/>
        <w:t>degenerate while the intersection form acquires a kernel. The collapse detects precisely the loss of symplectic rigidity in the vanishing</w:t>
      </w:r>
      <w:r>
        <w:rPr>
          <w:sz w:val="22"/>
          <w:szCs w:val="22"/>
        </w:rPr>
        <w:noBreakHyphen/>
        <w:t>cycle space, which is the algebraic content of CPC step two: the reduction of the algebraic cycle that §6B describes informally as “entity collapse reduces the algebraic cycle.</w:t>
      </w:r>
    </w:p>
    <w:p w14:paraId="3E47BF25" w14:textId="77777777" w:rsidR="00F1709B" w:rsidRDefault="00000000">
      <w:pPr>
        <w:spacing w:before="200" w:after="80"/>
        <w:rPr>
          <w:b/>
          <w:bCs/>
          <w:sz w:val="22"/>
          <w:szCs w:val="22"/>
        </w:rPr>
      </w:pPr>
      <w:r>
        <w:rPr>
          <w:b/>
          <w:bCs/>
          <w:sz w:val="22"/>
          <w:szCs w:val="22"/>
        </w:rPr>
        <w:t>B.4  Connection to the Rigidity Operator</w:t>
      </w:r>
    </w:p>
    <w:p w14:paraId="617CB89E" w14:textId="77777777" w:rsidR="00F1709B" w:rsidRDefault="00000000">
      <w:pPr>
        <w:spacing w:after="160" w:line="276" w:lineRule="auto"/>
        <w:jc w:val="both"/>
        <w:rPr>
          <w:sz w:val="22"/>
          <w:szCs w:val="22"/>
        </w:rPr>
      </w:pPr>
      <w:r>
        <w:rPr>
          <w:sz w:val="22"/>
          <w:szCs w:val="22"/>
        </w:rPr>
        <w:t>The intersection form is not an independent object. It is read off from the rigidity operator Δ</w:t>
      </w:r>
      <w:r>
        <w:rPr>
          <w:sz w:val="22"/>
          <w:szCs w:val="22"/>
          <w:vertAlign w:val="subscript"/>
        </w:rPr>
        <w:t>C</w:t>
      </w:r>
      <w:r>
        <w:rPr>
          <w:sz w:val="22"/>
          <w:szCs w:val="22"/>
        </w:rPr>
        <w:t xml:space="preserve"> restricted to the vanishing‑cycle space. Let P</w:t>
      </w:r>
      <w:r>
        <w:rPr>
          <w:sz w:val="22"/>
          <w:szCs w:val="22"/>
          <w:vertAlign w:val="subscript"/>
        </w:rPr>
        <w:t>p</w:t>
      </w:r>
      <w:r>
        <w:rPr>
          <w:sz w:val="22"/>
          <w:szCs w:val="22"/>
        </w:rPr>
        <w:t xml:space="preserve"> denote the spectral projection of Δ</w:t>
      </w:r>
      <w:r>
        <w:rPr>
          <w:sz w:val="22"/>
          <w:szCs w:val="22"/>
          <w:vertAlign w:val="subscript"/>
        </w:rPr>
        <w:t>C</w:t>
      </w:r>
      <w:r>
        <w:rPr>
          <w:sz w:val="22"/>
          <w:szCs w:val="22"/>
        </w:rPr>
        <w:t xml:space="preserve"> onto the eigenspaces whose eigenvalues approach zero as the fibre approaches p. The restricted operator P</w:t>
      </w:r>
      <w:r>
        <w:rPr>
          <w:sz w:val="22"/>
          <w:szCs w:val="22"/>
          <w:vertAlign w:val="subscript"/>
        </w:rPr>
        <w:t>p</w:t>
      </w:r>
      <w:r>
        <w:rPr>
          <w:sz w:val="22"/>
          <w:szCs w:val="22"/>
        </w:rPr>
        <w:t xml:space="preserve"> Δ</w:t>
      </w:r>
      <w:r>
        <w:rPr>
          <w:sz w:val="22"/>
          <w:szCs w:val="22"/>
          <w:vertAlign w:val="subscript"/>
        </w:rPr>
        <w:t>C</w:t>
      </w:r>
      <w:r>
        <w:rPr>
          <w:sz w:val="22"/>
          <w:szCs w:val="22"/>
        </w:rPr>
        <w:t xml:space="preserve"> P</w:t>
      </w:r>
      <w:r>
        <w:rPr>
          <w:sz w:val="22"/>
          <w:szCs w:val="22"/>
          <w:vertAlign w:val="subscript"/>
        </w:rPr>
        <w:t>p</w:t>
      </w:r>
      <w:r>
        <w:rPr>
          <w:sz w:val="22"/>
          <w:szCs w:val="22"/>
        </w:rPr>
        <w:t xml:space="preserve"> is, after polar decomposition, the product of the symmetric Fisher–Rao part and an orthogonal part. The skew‑symmetric generator of that orthogonal part is the intersection form:</w:t>
      </w:r>
    </w:p>
    <w:p w14:paraId="08C37EDC" w14:textId="77777777" w:rsidR="00F1709B" w:rsidRDefault="00000000">
      <w:pPr>
        <w:spacing w:before="80" w:after="160"/>
        <w:jc w:val="center"/>
        <w:rPr>
          <w:i/>
          <w:iCs/>
          <w:sz w:val="22"/>
          <w:szCs w:val="22"/>
        </w:rPr>
      </w:pPr>
      <w:r>
        <w:rPr>
          <w:i/>
          <w:iCs/>
          <w:sz w:val="22"/>
          <w:szCs w:val="22"/>
        </w:rPr>
        <w:t>Ω</w:t>
      </w:r>
      <w:r>
        <w:rPr>
          <w:i/>
          <w:iCs/>
          <w:sz w:val="22"/>
          <w:szCs w:val="22"/>
          <w:vertAlign w:val="subscript"/>
        </w:rPr>
        <w:t>p</w:t>
      </w:r>
      <w:r>
        <w:rPr>
          <w:i/>
          <w:iCs/>
          <w:sz w:val="22"/>
          <w:szCs w:val="22"/>
        </w:rPr>
        <w:t xml:space="preserve"> = −Ω</w:t>
      </w:r>
      <w:r>
        <w:rPr>
          <w:i/>
          <w:iCs/>
          <w:sz w:val="22"/>
          <w:szCs w:val="22"/>
          <w:vertAlign w:val="subscript"/>
        </w:rPr>
        <w:t>p</w:t>
      </w:r>
      <w:r>
        <w:rPr>
          <w:i/>
          <w:iCs/>
          <w:sz w:val="22"/>
          <w:szCs w:val="22"/>
        </w:rPr>
        <w:t xml:space="preserve">ᵀ = </w:t>
      </w:r>
      <w:r>
        <w:rPr>
          <w:sz w:val="22"/>
          <w:szCs w:val="22"/>
        </w:rPr>
        <w:t>log‐phase</w:t>
      </w:r>
      <w:r>
        <w:rPr>
          <w:i/>
          <w:iCs/>
          <w:sz w:val="22"/>
          <w:szCs w:val="22"/>
        </w:rPr>
        <w:t>(</w:t>
      </w:r>
      <w:r>
        <w:rPr>
          <w:sz w:val="22"/>
          <w:szCs w:val="22"/>
        </w:rPr>
        <w:t xml:space="preserve"> P</w:t>
      </w:r>
      <w:r>
        <w:rPr>
          <w:i/>
          <w:iCs/>
          <w:sz w:val="22"/>
          <w:szCs w:val="22"/>
          <w:vertAlign w:val="subscript"/>
        </w:rPr>
        <w:t>p</w:t>
      </w:r>
      <w:r>
        <w:rPr>
          <w:i/>
          <w:iCs/>
          <w:sz w:val="22"/>
          <w:szCs w:val="22"/>
        </w:rPr>
        <w:t xml:space="preserve"> Δ</w:t>
      </w:r>
      <w:r>
        <w:rPr>
          <w:i/>
          <w:iCs/>
          <w:sz w:val="22"/>
          <w:szCs w:val="22"/>
          <w:vertAlign w:val="subscript"/>
        </w:rPr>
        <w:t>C</w:t>
      </w:r>
      <w:r>
        <w:rPr>
          <w:i/>
          <w:iCs/>
          <w:sz w:val="22"/>
          <w:szCs w:val="22"/>
        </w:rPr>
        <w:t xml:space="preserve"> </w:t>
      </w:r>
      <w:r>
        <w:rPr>
          <w:sz w:val="22"/>
          <w:szCs w:val="22"/>
        </w:rPr>
        <w:t>P</w:t>
      </w:r>
      <w:r>
        <w:rPr>
          <w:i/>
          <w:iCs/>
          <w:sz w:val="22"/>
          <w:szCs w:val="22"/>
          <w:vertAlign w:val="subscript"/>
        </w:rPr>
        <w:t>p</w:t>
      </w:r>
      <w:r>
        <w:rPr>
          <w:i/>
          <w:iCs/>
          <w:sz w:val="22"/>
          <w:szCs w:val="22"/>
        </w:rPr>
        <w:t xml:space="preserve"> ).</w:t>
      </w:r>
    </w:p>
    <w:p w14:paraId="4EE68242" w14:textId="77777777" w:rsidR="00F1709B" w:rsidRDefault="00000000">
      <w:pPr>
        <w:spacing w:after="160" w:line="276" w:lineRule="auto"/>
        <w:jc w:val="both"/>
        <w:rPr>
          <w:sz w:val="22"/>
          <w:szCs w:val="22"/>
        </w:rPr>
      </w:pPr>
      <w:r>
        <w:rPr>
          <w:sz w:val="22"/>
          <w:szCs w:val="22"/>
        </w:rPr>
        <w:t>Hence the block parameters λ</w:t>
      </w:r>
      <w:r>
        <w:rPr>
          <w:sz w:val="22"/>
          <w:szCs w:val="22"/>
          <w:vertAlign w:val="subscript"/>
        </w:rPr>
        <w:t>k</w:t>
      </w:r>
      <w:r>
        <w:rPr>
          <w:sz w:val="22"/>
          <w:szCs w:val="22"/>
        </w:rPr>
        <w:t xml:space="preserve"> are the imaginary parts of the spectral phases of Δ_C on the collapsing eigenspaces. The Pfaffian product λ₁⋯λ_n therefore equals the product of these spectral phases, and the collapse Pf(Ω</w:t>
      </w:r>
      <w:r>
        <w:rPr>
          <w:sz w:val="22"/>
          <w:szCs w:val="22"/>
          <w:vertAlign w:val="subscript"/>
        </w:rPr>
        <w:t>p</w:t>
      </w:r>
      <w:r>
        <w:rPr>
          <w:sz w:val="22"/>
          <w:szCs w:val="22"/>
        </w:rPr>
        <w:t>) → 0 occurs exactly when one or more spectral phases is driven to zero by the rigidity flow. This ties the collapse directly to the spectrum of Δ</w:t>
      </w:r>
      <w:r>
        <w:rPr>
          <w:sz w:val="22"/>
          <w:szCs w:val="22"/>
          <w:vertAlign w:val="subscript"/>
        </w:rPr>
        <w:t>C</w:t>
      </w:r>
      <w:r>
        <w:rPr>
          <w:sz w:val="22"/>
          <w:szCs w:val="22"/>
        </w:rPr>
        <w:t>, the central object of the Rigidity Calculus, and makes it spectrally computable in the same sense as the obstruction field of the autopoietic programme.</w:t>
      </w:r>
    </w:p>
    <w:p w14:paraId="7C1FEAA0" w14:textId="77777777" w:rsidR="00F1709B" w:rsidRDefault="00000000">
      <w:pPr>
        <w:spacing w:after="160" w:line="276" w:lineRule="auto"/>
        <w:jc w:val="both"/>
        <w:rPr>
          <w:sz w:val="22"/>
          <w:szCs w:val="22"/>
        </w:rPr>
      </w:pPr>
      <w:r>
        <w:rPr>
          <w:sz w:val="22"/>
          <w:szCs w:val="22"/>
        </w:rPr>
        <w:t>In the BSD reading of the main paper, where I_p plays the role of a dispositional informational potential (analogous to a Hodge class in the sense of Griffiths and Harris, 1978) and E the enacted algebraic cycle, the Pfaffian product is the regulator‑like determinant of the height pairing restricted to the vanishing cycles. Its vanishing marks the rank jump at which the algebraic cycle reduces. This is the precise geometric event that the CPC reset then repairs on the modified base manifold.</w:t>
      </w:r>
    </w:p>
    <w:p w14:paraId="6F78F55B" w14:textId="77777777" w:rsidR="00F1709B" w:rsidRDefault="00000000">
      <w:pPr>
        <w:spacing w:before="200" w:after="80"/>
        <w:rPr>
          <w:b/>
          <w:bCs/>
          <w:sz w:val="22"/>
          <w:szCs w:val="22"/>
        </w:rPr>
      </w:pPr>
      <w:r>
        <w:rPr>
          <w:b/>
          <w:bCs/>
          <w:sz w:val="22"/>
          <w:szCs w:val="22"/>
        </w:rPr>
        <w:t>B.5  Role in the Constitutional Persistence Cycle</w:t>
      </w:r>
    </w:p>
    <w:p w14:paraId="0E69A05E" w14:textId="77777777" w:rsidR="00F1709B" w:rsidRDefault="00000000">
      <w:pPr>
        <w:spacing w:after="160" w:line="276" w:lineRule="auto"/>
        <w:jc w:val="both"/>
        <w:rPr>
          <w:sz w:val="22"/>
          <w:szCs w:val="22"/>
        </w:rPr>
      </w:pPr>
      <w:r>
        <w:rPr>
          <w:sz w:val="22"/>
          <w:szCs w:val="22"/>
        </w:rPr>
        <w:lastRenderedPageBreak/>
        <w:t>The three CPC steps now read as a single coherent mechanism. Step one, the Łojasiewicz rigidity lock, drives the operative geometry superlinearly toward the singular fibre, generating the one‑parameter family Ω_p(t). Step two, the Berezin–Pfaffian entity collapse defined above, is the vanishing Pf(Ω_p(t)) → 0 at which the symplectic rigidity of the vanishing‑cycle space is lost and the algebraic cycle reduces. Step three, the Picard–Lefschetz monodromy reset (Lefschetz, 1924; Milnor, 1968), acts on the collapsed cycles by the classical transvection</w:t>
      </w:r>
    </w:p>
    <w:p w14:paraId="0539F6D1" w14:textId="77777777" w:rsidR="00F1709B" w:rsidRDefault="00000000">
      <w:pPr>
        <w:spacing w:before="80" w:after="160"/>
        <w:jc w:val="center"/>
        <w:rPr>
          <w:i/>
          <w:iCs/>
          <w:sz w:val="22"/>
          <w:szCs w:val="22"/>
        </w:rPr>
      </w:pPr>
      <w:r>
        <w:rPr>
          <w:i/>
          <w:iCs/>
          <w:sz w:val="22"/>
          <w:szCs w:val="22"/>
        </w:rPr>
        <w:t>e_i ↦ e_i + ε ⟨ e_i , δ ⟩ δ,   ε = ±1,</w:t>
      </w:r>
    </w:p>
    <w:p w14:paraId="1BBE5A0A" w14:textId="77777777" w:rsidR="00F1709B" w:rsidRDefault="00000000">
      <w:pPr>
        <w:spacing w:after="160" w:line="276" w:lineRule="auto"/>
        <w:jc w:val="both"/>
        <w:rPr>
          <w:sz w:val="22"/>
          <w:szCs w:val="22"/>
        </w:rPr>
      </w:pPr>
      <w:r>
        <w:rPr>
          <w:sz w:val="22"/>
          <w:szCs w:val="22"/>
        </w:rPr>
        <w:t>where δ is the vanishing cycle and ⟨·,·⟩ the same intersection form whose Pfaffian collapsed. The sign ε is exactly the Pfaffian sign that the determinant would have discarded, which is why the construction must use the Pfaffian and not the determinant. The reset restores K‑field coherence on a base manifold modified by the transvection, and the persistent random walk on this modified base is governed by the telegrapher’s equation of §6B.</w:t>
      </w:r>
    </w:p>
    <w:p w14:paraId="7090E841" w14:textId="77777777" w:rsidR="00F1709B" w:rsidRDefault="00000000">
      <w:pPr>
        <w:spacing w:after="160" w:line="276" w:lineRule="auto"/>
        <w:jc w:val="both"/>
        <w:rPr>
          <w:sz w:val="22"/>
          <w:szCs w:val="22"/>
        </w:rPr>
      </w:pPr>
      <w:r>
        <w:rPr>
          <w:sz w:val="22"/>
          <w:szCs w:val="22"/>
        </w:rPr>
        <w:t>The collapse is therefore the hinge of the cycle. Without an explicit Pfaffian condition, steps one and three cannot be connected, because the monodromy sign that step three requires is generated precisely at the Pfaffian zero of step two. The construction given here closes that gap.</w:t>
      </w:r>
    </w:p>
    <w:p w14:paraId="022AEF6B" w14:textId="77777777" w:rsidR="00F1709B" w:rsidRDefault="00000000">
      <w:pPr>
        <w:spacing w:before="200" w:after="80"/>
        <w:rPr>
          <w:b/>
          <w:bCs/>
          <w:sz w:val="22"/>
          <w:szCs w:val="22"/>
        </w:rPr>
      </w:pPr>
      <w:r>
        <w:rPr>
          <w:b/>
          <w:bCs/>
          <w:sz w:val="22"/>
          <w:szCs w:val="22"/>
        </w:rPr>
        <w:t>B.6  Summary</w:t>
      </w:r>
    </w:p>
    <w:p w14:paraId="442F7B44" w14:textId="77777777" w:rsidR="00F1709B" w:rsidRDefault="00000000">
      <w:pPr>
        <w:spacing w:after="160" w:line="276" w:lineRule="auto"/>
        <w:jc w:val="both"/>
        <w:rPr>
          <w:sz w:val="22"/>
          <w:szCs w:val="22"/>
        </w:rPr>
      </w:pPr>
      <w:r>
        <w:rPr>
          <w:sz w:val="22"/>
          <w:szCs w:val="22"/>
        </w:rPr>
        <w:t>The Berezin–Pfaffian entity collapse is the vanishing of the Pfaffian of the skew‑symmetric intersection form on the space of vanishing cycles, along the Łojasiewicz rigidity flow. The Pfaffian is the canonical sign‑carrying scalar of the intersection form, equal to the product of its symplectic block parameters, and equal in turn to the product of the collapsing spectral phases of the rigidity operator Δ_C. Its vanishing marks the reduction of the algebraic cycle and supplies the monodromy sign required by the Picard–Lefschetz reset. The collapse is spectrally computable from Δ_C and is strictly stronger than metric degeneration. With this definition in place, the Constitutional Persistence Cycle is a complete and grounded mechanism rather than a named sequence.</w:t>
      </w:r>
    </w:p>
    <w:p w14:paraId="6C98BDAA" w14:textId="77777777" w:rsidR="00F1709B" w:rsidRDefault="00000000">
      <w:pPr>
        <w:spacing w:after="160" w:line="276" w:lineRule="auto"/>
        <w:jc w:val="both"/>
        <w:rPr>
          <w:sz w:val="22"/>
          <w:szCs w:val="22"/>
        </w:rPr>
      </w:pPr>
      <w:r>
        <w:rPr>
          <w:b/>
          <w:bCs/>
          <w:sz w:val="22"/>
          <w:szCs w:val="22"/>
        </w:rPr>
        <w:t xml:space="preserve">Proof status.  </w:t>
      </w:r>
      <w:r>
        <w:rPr>
          <w:sz w:val="22"/>
          <w:szCs w:val="22"/>
        </w:rPr>
        <w:t>Definition B.1 and the identities of §B.2 are standard Berezin–Pfaffian calculus and are complete as stated. The identification of Ω_p with the spectral phase of Δ_C in §B.4 is exact for the block‑diagonal normal form and is conjectural in the general non‑normal case, where it requires the polar decomposition of P_p Δ_C P_p to be well‑defined; this holds whenever the collapsing eigenspace is finite‑dimensional, which is the only case arising in the CPC. The connection to the BSD regulator in §B.4 is offered as an interpretation, not a theorem, consistent with the open‑programme status of the arithmetic application.</w:t>
      </w:r>
    </w:p>
    <w:sectPr w:rsidR="00F1709B">
      <w:footerReference w:type="default" r:id="rId15"/>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4D22" w14:textId="77777777" w:rsidR="000143D2" w:rsidRDefault="000143D2">
      <w:r>
        <w:separator/>
      </w:r>
    </w:p>
  </w:endnote>
  <w:endnote w:type="continuationSeparator" w:id="0">
    <w:p w14:paraId="512BF23A" w14:textId="77777777" w:rsidR="000143D2" w:rsidRDefault="0001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FB57" w14:textId="77777777" w:rsidR="004D2D6C" w:rsidRDefault="00000000">
    <w:pPr>
      <w:jc w:val="center"/>
    </w:pPr>
    <w:r>
      <w:t xml:space="preserve"> </w:t>
    </w:r>
    <w:r>
      <w:rPr>
        <w:sz w:val="20"/>
        <w:szCs w:val="20"/>
      </w:rPr>
      <w:fldChar w:fldCharType="begin"/>
    </w:r>
    <w:r>
      <w:rPr>
        <w:sz w:val="20"/>
        <w:szCs w:val="20"/>
      </w:rPr>
      <w:instrText>PAGE</w:instrText>
    </w:r>
    <w:r>
      <w:rPr>
        <w:sz w:val="20"/>
        <w:szCs w:val="20"/>
      </w:rPr>
      <w:fldChar w:fldCharType="separate"/>
    </w:r>
    <w:r w:rsidR="000A3A51">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89F0B" w14:textId="77777777" w:rsidR="000143D2" w:rsidRDefault="000143D2">
      <w:r>
        <w:separator/>
      </w:r>
    </w:p>
  </w:footnote>
  <w:footnote w:type="continuationSeparator" w:id="0">
    <w:p w14:paraId="49344E4D" w14:textId="77777777" w:rsidR="000143D2" w:rsidRDefault="00014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EC10DF"/>
    <w:multiLevelType w:val="multilevel"/>
    <w:tmpl w:val="FF04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C0B1E"/>
    <w:multiLevelType w:val="multilevel"/>
    <w:tmpl w:val="824C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FA67B2"/>
    <w:multiLevelType w:val="multilevel"/>
    <w:tmpl w:val="C18C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CE77F0"/>
    <w:multiLevelType w:val="hybridMultilevel"/>
    <w:tmpl w:val="1B642B0C"/>
    <w:lvl w:ilvl="0" w:tplc="C05E5C12">
      <w:start w:val="1"/>
      <w:numFmt w:val="bullet"/>
      <w:lvlText w:val="●"/>
      <w:lvlJc w:val="left"/>
      <w:pPr>
        <w:ind w:left="720" w:hanging="360"/>
      </w:pPr>
    </w:lvl>
    <w:lvl w:ilvl="1" w:tplc="9A0C3266">
      <w:start w:val="1"/>
      <w:numFmt w:val="bullet"/>
      <w:lvlText w:val="○"/>
      <w:lvlJc w:val="left"/>
      <w:pPr>
        <w:ind w:left="1440" w:hanging="360"/>
      </w:pPr>
    </w:lvl>
    <w:lvl w:ilvl="2" w:tplc="C42A1A32">
      <w:start w:val="1"/>
      <w:numFmt w:val="bullet"/>
      <w:lvlText w:val="■"/>
      <w:lvlJc w:val="left"/>
      <w:pPr>
        <w:ind w:left="2160" w:hanging="360"/>
      </w:pPr>
    </w:lvl>
    <w:lvl w:ilvl="3" w:tplc="35E4CF2C">
      <w:start w:val="1"/>
      <w:numFmt w:val="bullet"/>
      <w:lvlText w:val="●"/>
      <w:lvlJc w:val="left"/>
      <w:pPr>
        <w:ind w:left="2880" w:hanging="360"/>
      </w:pPr>
    </w:lvl>
    <w:lvl w:ilvl="4" w:tplc="4C389142">
      <w:start w:val="1"/>
      <w:numFmt w:val="bullet"/>
      <w:lvlText w:val="○"/>
      <w:lvlJc w:val="left"/>
      <w:pPr>
        <w:ind w:left="3600" w:hanging="360"/>
      </w:pPr>
    </w:lvl>
    <w:lvl w:ilvl="5" w:tplc="044C354E">
      <w:start w:val="1"/>
      <w:numFmt w:val="bullet"/>
      <w:lvlText w:val="■"/>
      <w:lvlJc w:val="left"/>
      <w:pPr>
        <w:ind w:left="4320" w:hanging="360"/>
      </w:pPr>
    </w:lvl>
    <w:lvl w:ilvl="6" w:tplc="5CF81DD8">
      <w:start w:val="1"/>
      <w:numFmt w:val="bullet"/>
      <w:lvlText w:val="●"/>
      <w:lvlJc w:val="left"/>
      <w:pPr>
        <w:ind w:left="5040" w:hanging="360"/>
      </w:pPr>
    </w:lvl>
    <w:lvl w:ilvl="7" w:tplc="6810ABA4">
      <w:start w:val="1"/>
      <w:numFmt w:val="bullet"/>
      <w:lvlText w:val="●"/>
      <w:lvlJc w:val="left"/>
      <w:pPr>
        <w:ind w:left="5760" w:hanging="360"/>
      </w:pPr>
    </w:lvl>
    <w:lvl w:ilvl="8" w:tplc="3FACFFA4">
      <w:start w:val="1"/>
      <w:numFmt w:val="bullet"/>
      <w:lvlText w:val="●"/>
      <w:lvlJc w:val="left"/>
      <w:pPr>
        <w:ind w:left="6480" w:hanging="360"/>
      </w:pPr>
    </w:lvl>
  </w:abstractNum>
  <w:abstractNum w:abstractNumId="5" w15:restartNumberingAfterBreak="0">
    <w:nsid w:val="575A5CFB"/>
    <w:multiLevelType w:val="multilevel"/>
    <w:tmpl w:val="B8C8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534504"/>
    <w:multiLevelType w:val="multilevel"/>
    <w:tmpl w:val="BDFE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C5417C"/>
    <w:multiLevelType w:val="multilevel"/>
    <w:tmpl w:val="C8DA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CC1533"/>
    <w:multiLevelType w:val="multilevel"/>
    <w:tmpl w:val="E780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243783">
    <w:abstractNumId w:val="4"/>
    <w:lvlOverride w:ilvl="0">
      <w:startOverride w:val="1"/>
    </w:lvlOverride>
  </w:num>
  <w:num w:numId="2" w16cid:durableId="1160732436">
    <w:abstractNumId w:val="1"/>
  </w:num>
  <w:num w:numId="3" w16cid:durableId="1450779602">
    <w:abstractNumId w:val="0"/>
  </w:num>
  <w:num w:numId="4" w16cid:durableId="2138641075">
    <w:abstractNumId w:val="3"/>
  </w:num>
  <w:num w:numId="5" w16cid:durableId="5907148">
    <w:abstractNumId w:val="7"/>
  </w:num>
  <w:num w:numId="6" w16cid:durableId="1438407676">
    <w:abstractNumId w:val="2"/>
  </w:num>
  <w:num w:numId="7" w16cid:durableId="218900804">
    <w:abstractNumId w:val="5"/>
  </w:num>
  <w:num w:numId="8" w16cid:durableId="1173836873">
    <w:abstractNumId w:val="6"/>
  </w:num>
  <w:num w:numId="9" w16cid:durableId="1503622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6C"/>
    <w:rsid w:val="00000CA3"/>
    <w:rsid w:val="0000557C"/>
    <w:rsid w:val="000143D2"/>
    <w:rsid w:val="00071B89"/>
    <w:rsid w:val="00074E60"/>
    <w:rsid w:val="00081BDE"/>
    <w:rsid w:val="00081DC9"/>
    <w:rsid w:val="0009675A"/>
    <w:rsid w:val="000A3A51"/>
    <w:rsid w:val="000D3F23"/>
    <w:rsid w:val="000D6671"/>
    <w:rsid w:val="000F6CE4"/>
    <w:rsid w:val="0010759D"/>
    <w:rsid w:val="00122FD1"/>
    <w:rsid w:val="00131235"/>
    <w:rsid w:val="00145927"/>
    <w:rsid w:val="00162C00"/>
    <w:rsid w:val="0018684A"/>
    <w:rsid w:val="001F2853"/>
    <w:rsid w:val="001F3698"/>
    <w:rsid w:val="00227C84"/>
    <w:rsid w:val="0023589D"/>
    <w:rsid w:val="0029182A"/>
    <w:rsid w:val="002B5474"/>
    <w:rsid w:val="00356A86"/>
    <w:rsid w:val="00376393"/>
    <w:rsid w:val="0039034C"/>
    <w:rsid w:val="0039465D"/>
    <w:rsid w:val="003971E1"/>
    <w:rsid w:val="003D000C"/>
    <w:rsid w:val="003D4506"/>
    <w:rsid w:val="00420425"/>
    <w:rsid w:val="00446050"/>
    <w:rsid w:val="004A7465"/>
    <w:rsid w:val="004D2D6C"/>
    <w:rsid w:val="004D7C78"/>
    <w:rsid w:val="004E18C3"/>
    <w:rsid w:val="004F6C33"/>
    <w:rsid w:val="00566ECC"/>
    <w:rsid w:val="00582BA6"/>
    <w:rsid w:val="00597EA6"/>
    <w:rsid w:val="005F1B91"/>
    <w:rsid w:val="006A5004"/>
    <w:rsid w:val="006B194A"/>
    <w:rsid w:val="006D3EBC"/>
    <w:rsid w:val="00703F7B"/>
    <w:rsid w:val="00717B8F"/>
    <w:rsid w:val="00726923"/>
    <w:rsid w:val="00730B3C"/>
    <w:rsid w:val="007334DA"/>
    <w:rsid w:val="00775ABA"/>
    <w:rsid w:val="00775E5F"/>
    <w:rsid w:val="00792711"/>
    <w:rsid w:val="007960F2"/>
    <w:rsid w:val="007F6A49"/>
    <w:rsid w:val="00801316"/>
    <w:rsid w:val="0080524A"/>
    <w:rsid w:val="00883700"/>
    <w:rsid w:val="00891209"/>
    <w:rsid w:val="008A0A6D"/>
    <w:rsid w:val="008D1038"/>
    <w:rsid w:val="009201D0"/>
    <w:rsid w:val="00962C21"/>
    <w:rsid w:val="00970F3E"/>
    <w:rsid w:val="00981325"/>
    <w:rsid w:val="00982CE3"/>
    <w:rsid w:val="009926D8"/>
    <w:rsid w:val="009D4876"/>
    <w:rsid w:val="00A2352C"/>
    <w:rsid w:val="00A84D0B"/>
    <w:rsid w:val="00AB6059"/>
    <w:rsid w:val="00AC27EE"/>
    <w:rsid w:val="00AF5342"/>
    <w:rsid w:val="00B15FBC"/>
    <w:rsid w:val="00B97E67"/>
    <w:rsid w:val="00BE0EA4"/>
    <w:rsid w:val="00BF7DFE"/>
    <w:rsid w:val="00C10C7D"/>
    <w:rsid w:val="00C31173"/>
    <w:rsid w:val="00C41A40"/>
    <w:rsid w:val="00C50FE0"/>
    <w:rsid w:val="00C651E7"/>
    <w:rsid w:val="00C776F1"/>
    <w:rsid w:val="00C85ABF"/>
    <w:rsid w:val="00D0779A"/>
    <w:rsid w:val="00D5403D"/>
    <w:rsid w:val="00DA11EE"/>
    <w:rsid w:val="00DC4AAA"/>
    <w:rsid w:val="00E043D2"/>
    <w:rsid w:val="00E07EDD"/>
    <w:rsid w:val="00E12101"/>
    <w:rsid w:val="00E1566B"/>
    <w:rsid w:val="00E158F7"/>
    <w:rsid w:val="00E27992"/>
    <w:rsid w:val="00E663D9"/>
    <w:rsid w:val="00E670D0"/>
    <w:rsid w:val="00E848DF"/>
    <w:rsid w:val="00E85059"/>
    <w:rsid w:val="00EC51CE"/>
    <w:rsid w:val="00EE3FC8"/>
    <w:rsid w:val="00EF147E"/>
    <w:rsid w:val="00F1709B"/>
    <w:rsid w:val="00F33E06"/>
    <w:rsid w:val="00F46FDB"/>
    <w:rsid w:val="00F56975"/>
    <w:rsid w:val="00F86AC6"/>
    <w:rsid w:val="00FA0361"/>
    <w:rsid w:val="00FB51BC"/>
    <w:rsid w:val="00FE08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6717"/>
  <w15:docId w15:val="{82D2C334-10E6-49DB-8D7A-03AEB6B1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000000"/>
      <w:sz w:val="28"/>
      <w:szCs w:val="28"/>
    </w:rPr>
  </w:style>
  <w:style w:type="paragraph" w:styleId="Heading2">
    <w:name w:val="heading 2"/>
    <w:uiPriority w:val="9"/>
    <w:unhideWhenUsed/>
    <w:qFormat/>
    <w:pPr>
      <w:spacing w:before="240" w:after="120"/>
      <w:outlineLvl w:val="1"/>
    </w:pPr>
    <w:rPr>
      <w:b/>
      <w:bCs/>
      <w:color w:val="000000"/>
      <w:sz w:val="26"/>
      <w:szCs w:val="26"/>
    </w:rPr>
  </w:style>
  <w:style w:type="paragraph" w:styleId="Heading3">
    <w:name w:val="heading 3"/>
    <w:uiPriority w:val="9"/>
    <w:unhideWhenUsed/>
    <w:qFormat/>
    <w:pPr>
      <w:spacing w:before="200" w:after="100"/>
      <w:outlineLvl w:val="2"/>
    </w:pPr>
    <w:rPr>
      <w:b/>
      <w:bCs/>
      <w:i/>
      <w:iCs/>
      <w:color w:val="000000"/>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651E7"/>
    <w:pPr>
      <w:tabs>
        <w:tab w:val="center" w:pos="4513"/>
        <w:tab w:val="right" w:pos="9026"/>
      </w:tabs>
    </w:pPr>
  </w:style>
  <w:style w:type="character" w:customStyle="1" w:styleId="HeaderChar">
    <w:name w:val="Header Char"/>
    <w:basedOn w:val="DefaultParagraphFont"/>
    <w:link w:val="Header"/>
    <w:uiPriority w:val="99"/>
    <w:rsid w:val="00C651E7"/>
  </w:style>
  <w:style w:type="paragraph" w:styleId="Footer">
    <w:name w:val="footer"/>
    <w:basedOn w:val="Normal"/>
    <w:link w:val="FooterChar"/>
    <w:uiPriority w:val="99"/>
    <w:unhideWhenUsed/>
    <w:rsid w:val="00C651E7"/>
    <w:pPr>
      <w:tabs>
        <w:tab w:val="center" w:pos="4513"/>
        <w:tab w:val="right" w:pos="9026"/>
      </w:tabs>
    </w:pPr>
  </w:style>
  <w:style w:type="character" w:customStyle="1" w:styleId="FooterChar">
    <w:name w:val="Footer Char"/>
    <w:basedOn w:val="DefaultParagraphFont"/>
    <w:link w:val="Footer"/>
    <w:uiPriority w:val="99"/>
    <w:rsid w:val="00C651E7"/>
  </w:style>
  <w:style w:type="character" w:styleId="PlaceholderText">
    <w:name w:val="Placeholder Text"/>
    <w:basedOn w:val="DefaultParagraphFont"/>
    <w:uiPriority w:val="99"/>
    <w:semiHidden/>
    <w:rsid w:val="00E12101"/>
    <w:rPr>
      <w:color w:val="66666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semiHidden/>
    <w:unhideWhenUsed/>
    <w:rsid w:val="0009675A"/>
  </w:style>
  <w:style w:type="character" w:styleId="UnresolvedMention">
    <w:name w:val="Unresolved Mention"/>
    <w:basedOn w:val="DefaultParagraphFont"/>
    <w:uiPriority w:val="99"/>
    <w:semiHidden/>
    <w:unhideWhenUsed/>
    <w:rsid w:val="008D1038"/>
    <w:rPr>
      <w:color w:val="605E5C"/>
      <w:shd w:val="clear" w:color="auto" w:fill="E1DFDD"/>
    </w:rPr>
  </w:style>
  <w:style w:type="paragraph" w:customStyle="1" w:styleId="m2931008745779314019m1420113560446361592msolistparagraph">
    <w:name w:val="m_2931008745779314019m_1420113560446361592msolistparagraph"/>
    <w:basedOn w:val="Normal"/>
    <w:rsid w:val="00A84D0B"/>
    <w:pPr>
      <w:spacing w:before="100" w:beforeAutospacing="1" w:after="100" w:afterAutospacing="1"/>
    </w:pPr>
    <w:rPr>
      <w:lang w:eastAsia="en-GB"/>
    </w:rPr>
  </w:style>
  <w:style w:type="character" w:styleId="Emphasis">
    <w:name w:val="Emphasis"/>
    <w:uiPriority w:val="20"/>
    <w:qFormat/>
    <w:rsid w:val="00A84D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doi.org/10.3390/systems1405049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5281/zenodo.1544551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07/978-3-319-56478-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yperlink" Target="https://doi.org/10.3390/systems90400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1EE314B-9D3D-42BF-AE93-B2F40CA7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14371</Words>
  <Characters>94421</Characters>
  <Application>Microsoft Office Word</Application>
  <DocSecurity>0</DocSecurity>
  <Lines>1716</Lines>
  <Paragraphs>849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Maurice Yolles</cp:lastModifiedBy>
  <cp:revision>2</cp:revision>
  <dcterms:created xsi:type="dcterms:W3CDTF">2026-06-14T18:09:00Z</dcterms:created>
  <dcterms:modified xsi:type="dcterms:W3CDTF">2026-06-14T18:09:00Z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1efe5b0c-bdfe-4f73-a835-60e0e684e620</vt:lpwstr>
  </property>
</Properties>
</file>